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8F" w:rsidRDefault="006D618F" w:rsidP="0058127F">
      <w:pPr>
        <w:spacing w:line="360" w:lineRule="auto"/>
        <w:jc w:val="center"/>
        <w:rPr>
          <w:b/>
          <w:color w:val="31849B" w:themeColor="accent5" w:themeShade="BF"/>
          <w:sz w:val="28"/>
          <w:szCs w:val="28"/>
        </w:rPr>
      </w:pPr>
      <w:r>
        <w:rPr>
          <w:b/>
          <w:noProof/>
          <w:sz w:val="32"/>
          <w:szCs w:val="32"/>
          <w:lang w:eastAsia="de-DE"/>
        </w:rPr>
        <w:drawing>
          <wp:anchor distT="0" distB="0" distL="114300" distR="114300" simplePos="0" relativeHeight="251659264" behindDoc="1" locked="0" layoutInCell="1" allowOverlap="1" wp14:anchorId="085B1D1B" wp14:editId="54755B96">
            <wp:simplePos x="0" y="0"/>
            <wp:positionH relativeFrom="column">
              <wp:posOffset>-527050</wp:posOffset>
            </wp:positionH>
            <wp:positionV relativeFrom="paragraph">
              <wp:posOffset>-652145</wp:posOffset>
            </wp:positionV>
            <wp:extent cx="5638800" cy="7905750"/>
            <wp:effectExtent l="0" t="0" r="0" b="0"/>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mschlag AG.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640192" cy="7907702"/>
                    </a:xfrm>
                    <a:prstGeom prst="rect">
                      <a:avLst/>
                    </a:prstGeom>
                  </pic:spPr>
                </pic:pic>
              </a:graphicData>
            </a:graphic>
            <wp14:sizeRelH relativeFrom="margin">
              <wp14:pctWidth>0</wp14:pctWidth>
            </wp14:sizeRelH>
            <wp14:sizeRelV relativeFrom="margin">
              <wp14:pctHeight>0</wp14:pctHeight>
            </wp14:sizeRelV>
          </wp:anchor>
        </w:drawing>
      </w:r>
    </w:p>
    <w:p w:rsidR="006D618F" w:rsidRDefault="006D618F" w:rsidP="0058127F">
      <w:pPr>
        <w:spacing w:after="200"/>
        <w:jc w:val="left"/>
        <w:rPr>
          <w:b/>
          <w:color w:val="31849B" w:themeColor="accent5" w:themeShade="BF"/>
          <w:sz w:val="28"/>
          <w:szCs w:val="28"/>
        </w:rPr>
      </w:pPr>
      <w:r w:rsidRPr="0058127F">
        <w:rPr>
          <w:noProof/>
          <w:color w:val="F2F2F2" w:themeColor="background1" w:themeShade="F2"/>
          <w:szCs w:val="20"/>
          <w:lang w:eastAsia="de-DE"/>
        </w:rPr>
        <w:drawing>
          <wp:anchor distT="0" distB="0" distL="114300" distR="114300" simplePos="0" relativeHeight="251661312" behindDoc="1" locked="0" layoutInCell="1" allowOverlap="1" wp14:anchorId="6323AE12" wp14:editId="59137F38">
            <wp:simplePos x="0" y="0"/>
            <wp:positionH relativeFrom="column">
              <wp:posOffset>982345</wp:posOffset>
            </wp:positionH>
            <wp:positionV relativeFrom="paragraph">
              <wp:posOffset>5172710</wp:posOffset>
            </wp:positionV>
            <wp:extent cx="2915920" cy="55753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enos.png"/>
                    <pic:cNvPicPr/>
                  </pic:nvPicPr>
                  <pic:blipFill>
                    <a:blip r:embed="rId10">
                      <a:extLst>
                        <a:ext uri="{28A0092B-C50C-407E-A947-70E740481C1C}">
                          <a14:useLocalDpi xmlns:a14="http://schemas.microsoft.com/office/drawing/2010/main" val="0"/>
                        </a:ext>
                      </a:extLst>
                    </a:blip>
                    <a:stretch>
                      <a:fillRect/>
                    </a:stretch>
                  </pic:blipFill>
                  <pic:spPr>
                    <a:xfrm>
                      <a:off x="0" y="0"/>
                      <a:ext cx="2915920" cy="557530"/>
                    </a:xfrm>
                    <a:prstGeom prst="rect">
                      <a:avLst/>
                    </a:prstGeom>
                  </pic:spPr>
                </pic:pic>
              </a:graphicData>
            </a:graphic>
            <wp14:sizeRelH relativeFrom="margin">
              <wp14:pctWidth>0</wp14:pctWidth>
            </wp14:sizeRelH>
            <wp14:sizeRelV relativeFrom="margin">
              <wp14:pctHeight>0</wp14:pctHeight>
            </wp14:sizeRelV>
          </wp:anchor>
        </w:drawing>
      </w:r>
      <w:r w:rsidRPr="0058127F">
        <w:rPr>
          <w:b/>
          <w:noProof/>
          <w:color w:val="FFC000"/>
          <w:szCs w:val="20"/>
          <w:lang w:eastAsia="de-DE"/>
        </w:rPr>
        <mc:AlternateContent>
          <mc:Choice Requires="wps">
            <w:drawing>
              <wp:anchor distT="0" distB="0" distL="114300" distR="114300" simplePos="0" relativeHeight="251662336" behindDoc="0" locked="0" layoutInCell="1" allowOverlap="1" wp14:anchorId="403946F1" wp14:editId="37BD6FF9">
                <wp:simplePos x="0" y="0"/>
                <wp:positionH relativeFrom="column">
                  <wp:align>center</wp:align>
                </wp:positionH>
                <wp:positionV relativeFrom="paragraph">
                  <wp:posOffset>0</wp:posOffset>
                </wp:positionV>
                <wp:extent cx="4886325" cy="215709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157095"/>
                        </a:xfrm>
                        <a:prstGeom prst="rect">
                          <a:avLst/>
                        </a:prstGeom>
                        <a:noFill/>
                        <a:ln w="9525">
                          <a:noFill/>
                          <a:miter lim="800000"/>
                          <a:headEnd/>
                          <a:tailEnd/>
                        </a:ln>
                      </wps:spPr>
                      <wps:txbx>
                        <w:txbxContent>
                          <w:p w:rsidR="006D618F" w:rsidRPr="00265936" w:rsidRDefault="006D618F" w:rsidP="0058127F">
                            <w:pPr>
                              <w:spacing w:line="360" w:lineRule="auto"/>
                              <w:jc w:val="center"/>
                              <w:rPr>
                                <w:b/>
                                <w:color w:val="FF0000"/>
                                <w:sz w:val="48"/>
                                <w:szCs w:val="48"/>
                              </w:rPr>
                            </w:pPr>
                            <w:r w:rsidRPr="00780234">
                              <w:rPr>
                                <w:b/>
                                <w:color w:val="FFC000"/>
                                <w:sz w:val="96"/>
                                <w:szCs w:val="96"/>
                              </w:rPr>
                              <w:t>Fusion</w:t>
                            </w:r>
                            <w:r w:rsidRPr="00265936">
                              <w:rPr>
                                <w:b/>
                                <w:color w:val="FFC000"/>
                                <w:sz w:val="48"/>
                                <w:szCs w:val="48"/>
                              </w:rPr>
                              <w:t xml:space="preserve"> </w:t>
                            </w:r>
                            <w:r>
                              <w:rPr>
                                <w:b/>
                                <w:color w:val="FFC000"/>
                                <w:sz w:val="48"/>
                                <w:szCs w:val="48"/>
                              </w:rPr>
                              <w:br/>
                              <w:t>auf Kosten der Mitglieder</w:t>
                            </w:r>
                          </w:p>
                          <w:p w:rsidR="006D618F" w:rsidRPr="0058127F" w:rsidRDefault="006D618F" w:rsidP="0061574D">
                            <w:pPr>
                              <w:jc w:val="cente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384.75pt;height:169.8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" filled="f" stroked="f">
                <v:textbox style="mso-fit-shape-to-text:t">
                  <w:txbxContent>
                    <w:p w:rsidR="006D618F" w:rsidRPr="00265936" w:rsidRDefault="006D618F" w:rsidP="0058127F">
                      <w:pPr>
                        <w:spacing w:line="360" w:lineRule="auto"/>
                        <w:jc w:val="center"/>
                        <w:rPr>
                          <w:b/>
                          <w:color w:val="FF0000"/>
                          <w:sz w:val="48"/>
                          <w:szCs w:val="48"/>
                        </w:rPr>
                      </w:pPr>
                      <w:r w:rsidRPr="00780234">
                        <w:rPr>
                          <w:b/>
                          <w:color w:val="FFC000"/>
                          <w:sz w:val="96"/>
                          <w:szCs w:val="96"/>
                        </w:rPr>
                        <w:t>Fusion</w:t>
                      </w:r>
                      <w:r w:rsidRPr="00265936">
                        <w:rPr>
                          <w:b/>
                          <w:color w:val="FFC000"/>
                          <w:sz w:val="48"/>
                          <w:szCs w:val="48"/>
                        </w:rPr>
                        <w:t xml:space="preserve"> </w:t>
                      </w:r>
                      <w:r>
                        <w:rPr>
                          <w:b/>
                          <w:color w:val="FFC000"/>
                          <w:sz w:val="48"/>
                          <w:szCs w:val="48"/>
                        </w:rPr>
                        <w:br/>
                        <w:t>auf Kosten der Mitglieder</w:t>
                      </w:r>
                    </w:p>
                    <w:p w:rsidR="006D618F" w:rsidRPr="0058127F" w:rsidRDefault="006D618F" w:rsidP="0061574D">
                      <w:pPr>
                        <w:jc w:val="center"/>
                        <w:rPr>
                          <w:sz w:val="28"/>
                          <w:szCs w:val="28"/>
                        </w:rPr>
                      </w:pPr>
                    </w:p>
                  </w:txbxContent>
                </v:textbox>
              </v:shape>
            </w:pict>
          </mc:Fallback>
        </mc:AlternateContent>
      </w:r>
      <w:r w:rsidRPr="0058127F">
        <w:rPr>
          <w:b/>
          <w:noProof/>
          <w:color w:val="31849B" w:themeColor="accent5" w:themeShade="BF"/>
          <w:szCs w:val="20"/>
          <w:lang w:eastAsia="de-DE"/>
        </w:rPr>
        <mc:AlternateContent>
          <mc:Choice Requires="wps">
            <w:drawing>
              <wp:anchor distT="0" distB="0" distL="114300" distR="114300" simplePos="0" relativeHeight="251660288" behindDoc="0" locked="0" layoutInCell="1" allowOverlap="1" wp14:anchorId="32746523" wp14:editId="4D5C566E">
                <wp:simplePos x="0" y="0"/>
                <wp:positionH relativeFrom="column">
                  <wp:posOffset>-11430</wp:posOffset>
                </wp:positionH>
                <wp:positionV relativeFrom="paragraph">
                  <wp:posOffset>2282190</wp:posOffset>
                </wp:positionV>
                <wp:extent cx="4497070" cy="12541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1254125"/>
                        </a:xfrm>
                        <a:prstGeom prst="rect">
                          <a:avLst/>
                        </a:prstGeom>
                        <a:noFill/>
                        <a:ln w="9525">
                          <a:noFill/>
                          <a:miter lim="800000"/>
                          <a:headEnd/>
                          <a:tailEnd/>
                        </a:ln>
                      </wps:spPr>
                      <wps:txbx>
                        <w:txbxContent>
                          <w:p w:rsidR="006D618F" w:rsidRPr="004C35EF" w:rsidRDefault="006D618F" w:rsidP="001D1B09">
                            <w:pPr>
                              <w:jc w:val="center"/>
                              <w:rPr>
                                <w:color w:val="FFFFFF" w:themeColor="background1"/>
                                <w:sz w:val="24"/>
                                <w:szCs w:val="24"/>
                              </w:rPr>
                            </w:pPr>
                            <w:r w:rsidRPr="004C35EF">
                              <w:rPr>
                                <w:color w:val="FFFFFF" w:themeColor="background1"/>
                                <w:sz w:val="24"/>
                                <w:szCs w:val="24"/>
                              </w:rPr>
                              <w:t xml:space="preserve">Eine kritische Analyse der </w:t>
                            </w:r>
                            <w:r>
                              <w:rPr>
                                <w:color w:val="FFFFFF" w:themeColor="background1"/>
                                <w:sz w:val="24"/>
                                <w:szCs w:val="24"/>
                              </w:rPr>
                              <w:t xml:space="preserve">Verschmelzung der </w:t>
                            </w:r>
                            <w:r w:rsidRPr="008065AC">
                              <w:rPr>
                                <w:noProof/>
                                <w:color w:val="FFFFFF" w:themeColor="background1"/>
                                <w:sz w:val="24"/>
                                <w:szCs w:val="24"/>
                              </w:rPr>
                              <w:t>Erfurter Bank eG</w:t>
                            </w:r>
                            <w:r>
                              <w:rPr>
                                <w:noProof/>
                                <w:color w:val="FFFFFF" w:themeColor="background1"/>
                                <w:sz w:val="24"/>
                                <w:szCs w:val="24"/>
                              </w:rPr>
                              <w:t xml:space="preserve"> </w:t>
                            </w:r>
                            <w:r w:rsidRPr="004C35EF">
                              <w:rPr>
                                <w:color w:val="FFFFFF" w:themeColor="background1"/>
                                <w:sz w:val="24"/>
                                <w:szCs w:val="24"/>
                              </w:rPr>
                              <w:t xml:space="preserve">mit der </w:t>
                            </w:r>
                            <w:r>
                              <w:rPr>
                                <w:color w:val="FFFFFF" w:themeColor="background1"/>
                                <w:sz w:val="24"/>
                                <w:szCs w:val="24"/>
                              </w:rPr>
                              <w:br/>
                            </w:r>
                            <w:r w:rsidRPr="008065AC">
                              <w:rPr>
                                <w:noProof/>
                                <w:color w:val="FFFFFF" w:themeColor="background1"/>
                                <w:sz w:val="24"/>
                                <w:szCs w:val="24"/>
                              </w:rPr>
                              <w:t>vr bank Südthüringen 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pt;margin-top:179.7pt;width:354.1pt;height:9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" filled="f" stroked="f">
                <v:textbox>
                  <w:txbxContent>
                    <w:p w:rsidR="006D618F" w:rsidRPr="004C35EF" w:rsidRDefault="006D618F" w:rsidP="001D1B09">
                      <w:pPr>
                        <w:jc w:val="center"/>
                        <w:rPr>
                          <w:color w:val="FFFFFF" w:themeColor="background1"/>
                          <w:sz w:val="24"/>
                          <w:szCs w:val="24"/>
                        </w:rPr>
                      </w:pPr>
                      <w:r w:rsidRPr="004C35EF">
                        <w:rPr>
                          <w:color w:val="FFFFFF" w:themeColor="background1"/>
                          <w:sz w:val="24"/>
                          <w:szCs w:val="24"/>
                        </w:rPr>
                        <w:t xml:space="preserve">Eine kritische Analyse der </w:t>
                      </w:r>
                      <w:r>
                        <w:rPr>
                          <w:color w:val="FFFFFF" w:themeColor="background1"/>
                          <w:sz w:val="24"/>
                          <w:szCs w:val="24"/>
                        </w:rPr>
                        <w:t xml:space="preserve">Verschmelzung der </w:t>
                      </w:r>
                      <w:r w:rsidRPr="008065AC">
                        <w:rPr>
                          <w:noProof/>
                          <w:color w:val="FFFFFF" w:themeColor="background1"/>
                          <w:sz w:val="24"/>
                          <w:szCs w:val="24"/>
                        </w:rPr>
                        <w:t>Erfurter Bank eG</w:t>
                      </w:r>
                      <w:r>
                        <w:rPr>
                          <w:noProof/>
                          <w:color w:val="FFFFFF" w:themeColor="background1"/>
                          <w:sz w:val="24"/>
                          <w:szCs w:val="24"/>
                        </w:rPr>
                        <w:t xml:space="preserve"> </w:t>
                      </w:r>
                      <w:r w:rsidRPr="004C35EF">
                        <w:rPr>
                          <w:color w:val="FFFFFF" w:themeColor="background1"/>
                          <w:sz w:val="24"/>
                          <w:szCs w:val="24"/>
                        </w:rPr>
                        <w:t xml:space="preserve">mit der </w:t>
                      </w:r>
                      <w:r>
                        <w:rPr>
                          <w:color w:val="FFFFFF" w:themeColor="background1"/>
                          <w:sz w:val="24"/>
                          <w:szCs w:val="24"/>
                        </w:rPr>
                        <w:br/>
                      </w:r>
                      <w:r w:rsidRPr="008065AC">
                        <w:rPr>
                          <w:noProof/>
                          <w:color w:val="FFFFFF" w:themeColor="background1"/>
                          <w:sz w:val="24"/>
                          <w:szCs w:val="24"/>
                        </w:rPr>
                        <w:t>vr bank Südthüringen eG</w:t>
                      </w:r>
                    </w:p>
                  </w:txbxContent>
                </v:textbox>
              </v:shape>
            </w:pict>
          </mc:Fallback>
        </mc:AlternateContent>
      </w:r>
      <w:r>
        <w:rPr>
          <w:b/>
          <w:color w:val="31849B" w:themeColor="accent5" w:themeShade="BF"/>
          <w:sz w:val="28"/>
          <w:szCs w:val="28"/>
        </w:rPr>
        <w:br w:type="page"/>
      </w:r>
    </w:p>
    <w:p w:rsidR="006D618F" w:rsidRDefault="006D618F" w:rsidP="00DC4350">
      <w:pPr>
        <w:jc w:val="left"/>
        <w:rPr>
          <w:b/>
          <w:color w:val="31849B" w:themeColor="accent5" w:themeShade="BF"/>
          <w:sz w:val="28"/>
          <w:szCs w:val="28"/>
        </w:rPr>
        <w:sectPr w:rsidR="006D618F" w:rsidSect="002023D8">
          <w:footerReference w:type="default" r:id="rId11"/>
          <w:pgSz w:w="8732" w:h="12247" w:code="300"/>
          <w:pgMar w:top="851" w:right="624" w:bottom="851" w:left="680" w:header="567" w:footer="567" w:gutter="0"/>
          <w:pgNumType w:start="1"/>
          <w:cols w:space="708"/>
          <w:docGrid w:linePitch="360"/>
        </w:sectPr>
      </w:pPr>
    </w:p>
    <w:p w:rsidR="006D618F" w:rsidRPr="00DC4350" w:rsidRDefault="006D618F" w:rsidP="00DC4350">
      <w:pPr>
        <w:jc w:val="left"/>
        <w:rPr>
          <w:b/>
          <w:color w:val="31849B" w:themeColor="accent5" w:themeShade="BF"/>
          <w:sz w:val="28"/>
          <w:szCs w:val="28"/>
        </w:rPr>
      </w:pPr>
      <w:r w:rsidRPr="00DC4350">
        <w:rPr>
          <w:b/>
          <w:color w:val="31849B" w:themeColor="accent5" w:themeShade="BF"/>
          <w:sz w:val="28"/>
          <w:szCs w:val="28"/>
        </w:rPr>
        <w:lastRenderedPageBreak/>
        <w:t>Impressum</w:t>
      </w:r>
    </w:p>
    <w:p w:rsidR="006D618F" w:rsidRDefault="006D618F">
      <w:pPr>
        <w:spacing w:after="200"/>
        <w:jc w:val="left"/>
        <w:rPr>
          <w:szCs w:val="20"/>
        </w:rPr>
      </w:pPr>
    </w:p>
    <w:p w:rsidR="006D618F" w:rsidRPr="00020948" w:rsidRDefault="006D618F">
      <w:pPr>
        <w:spacing w:after="200"/>
        <w:jc w:val="left"/>
        <w:rPr>
          <w:szCs w:val="20"/>
        </w:rPr>
      </w:pPr>
      <w:r w:rsidRPr="00020948">
        <w:rPr>
          <w:szCs w:val="20"/>
        </w:rPr>
        <w:t>Herausgeber:</w:t>
      </w:r>
    </w:p>
    <w:p w:rsidR="006D618F" w:rsidRPr="00020948" w:rsidRDefault="006D618F" w:rsidP="00F372D0">
      <w:pPr>
        <w:spacing w:after="0" w:line="240" w:lineRule="auto"/>
        <w:jc w:val="left"/>
        <w:rPr>
          <w:szCs w:val="20"/>
        </w:rPr>
      </w:pPr>
      <w:r w:rsidRPr="00020948">
        <w:rPr>
          <w:b/>
          <w:szCs w:val="20"/>
        </w:rPr>
        <w:t>igenos e.V.</w:t>
      </w:r>
      <w:r w:rsidRPr="00020948">
        <w:rPr>
          <w:szCs w:val="20"/>
        </w:rPr>
        <w:t xml:space="preserve"> </w:t>
      </w:r>
      <w:r w:rsidRPr="00020948">
        <w:rPr>
          <w:szCs w:val="20"/>
        </w:rPr>
        <w:br/>
        <w:t xml:space="preserve">Interessengemeinschaft der </w:t>
      </w:r>
    </w:p>
    <w:p w:rsidR="006D618F" w:rsidRPr="00020948" w:rsidRDefault="006D618F" w:rsidP="00F372D0">
      <w:pPr>
        <w:spacing w:after="0" w:line="240" w:lineRule="auto"/>
        <w:jc w:val="left"/>
        <w:rPr>
          <w:szCs w:val="20"/>
        </w:rPr>
      </w:pPr>
      <w:r w:rsidRPr="00020948">
        <w:rPr>
          <w:szCs w:val="20"/>
        </w:rPr>
        <w:t xml:space="preserve">Genossenschaftsmitglieder </w:t>
      </w:r>
    </w:p>
    <w:p w:rsidR="006D618F" w:rsidRPr="00020948" w:rsidRDefault="006D618F" w:rsidP="003B1093">
      <w:pPr>
        <w:spacing w:after="0" w:line="240" w:lineRule="auto"/>
        <w:jc w:val="left"/>
        <w:rPr>
          <w:szCs w:val="20"/>
        </w:rPr>
      </w:pPr>
      <w:r w:rsidRPr="00020948">
        <w:rPr>
          <w:szCs w:val="20"/>
        </w:rPr>
        <w:t>Kirchstraße 26, 56859 Bullay / Mosel</w:t>
      </w:r>
      <w:r w:rsidRPr="00020948">
        <w:rPr>
          <w:szCs w:val="20"/>
        </w:rPr>
        <w:br/>
        <w:t xml:space="preserve">Vorstand: Gerald Wiegner, Georg Scheumann </w:t>
      </w:r>
    </w:p>
    <w:p w:rsidR="006D618F" w:rsidRPr="00020948" w:rsidRDefault="006D618F" w:rsidP="003B1093">
      <w:pPr>
        <w:spacing w:after="0" w:line="240" w:lineRule="auto"/>
        <w:jc w:val="left"/>
        <w:rPr>
          <w:szCs w:val="20"/>
        </w:rPr>
      </w:pPr>
      <w:r w:rsidRPr="00020948">
        <w:rPr>
          <w:szCs w:val="20"/>
        </w:rPr>
        <w:t xml:space="preserve">Vereinsregister: Amtsgericht Koblenz NR 21586 </w:t>
      </w:r>
      <w:r w:rsidRPr="00020948">
        <w:rPr>
          <w:szCs w:val="20"/>
        </w:rPr>
        <w:br/>
      </w:r>
    </w:p>
    <w:p w:rsidR="006D618F" w:rsidRPr="00020948" w:rsidRDefault="006D618F" w:rsidP="00F372D0">
      <w:pPr>
        <w:spacing w:after="0" w:line="240" w:lineRule="auto"/>
        <w:jc w:val="left"/>
        <w:rPr>
          <w:szCs w:val="20"/>
        </w:rPr>
      </w:pPr>
      <w:r w:rsidRPr="00020948">
        <w:rPr>
          <w:szCs w:val="20"/>
        </w:rPr>
        <w:t xml:space="preserve">Telefon Büro Bullay: 06542 9693842 </w:t>
      </w:r>
      <w:r w:rsidRPr="00020948">
        <w:rPr>
          <w:szCs w:val="20"/>
        </w:rPr>
        <w:br/>
        <w:t>E-Mail: post@igenos.de</w:t>
      </w:r>
    </w:p>
    <w:p w:rsidR="006D618F" w:rsidRPr="00020948" w:rsidRDefault="006D618F" w:rsidP="00F372D0">
      <w:pPr>
        <w:spacing w:after="0" w:line="240" w:lineRule="auto"/>
        <w:jc w:val="left"/>
        <w:rPr>
          <w:szCs w:val="20"/>
        </w:rPr>
      </w:pPr>
      <w:r w:rsidRPr="00020948">
        <w:rPr>
          <w:szCs w:val="20"/>
        </w:rPr>
        <w:br/>
        <w:t>Telefon Büro Großhabersdorf: 09105 9980701</w:t>
      </w:r>
      <w:r w:rsidRPr="00020948">
        <w:rPr>
          <w:szCs w:val="20"/>
        </w:rPr>
        <w:br/>
        <w:t>E-Mail: info@wegfrei.de</w:t>
      </w:r>
      <w:r w:rsidRPr="00020948">
        <w:rPr>
          <w:szCs w:val="20"/>
        </w:rPr>
        <w:br/>
      </w:r>
    </w:p>
    <w:p w:rsidR="006D618F" w:rsidRPr="00020948" w:rsidRDefault="006D618F" w:rsidP="00DC4350">
      <w:pPr>
        <w:spacing w:after="200"/>
        <w:jc w:val="left"/>
        <w:rPr>
          <w:szCs w:val="20"/>
        </w:rPr>
      </w:pPr>
      <w:r w:rsidRPr="00020948">
        <w:rPr>
          <w:szCs w:val="20"/>
        </w:rPr>
        <w:t xml:space="preserve">Text: Georg Scheumann, </w:t>
      </w:r>
      <w:r w:rsidRPr="00020948">
        <w:rPr>
          <w:szCs w:val="20"/>
        </w:rPr>
        <w:br/>
        <w:t>genossenschaftlicher Bankbetriebswirt</w:t>
      </w:r>
      <w:r w:rsidRPr="00020948">
        <w:rPr>
          <w:szCs w:val="20"/>
        </w:rPr>
        <w:br/>
        <w:t>www.wegfrei.de</w:t>
      </w:r>
      <w:r w:rsidRPr="00020948">
        <w:rPr>
          <w:szCs w:val="20"/>
        </w:rPr>
        <w:br/>
      </w:r>
    </w:p>
    <w:p w:rsidR="006D618F" w:rsidRPr="00020948" w:rsidRDefault="006D618F" w:rsidP="00020948">
      <w:pPr>
        <w:spacing w:after="200"/>
        <w:jc w:val="left"/>
        <w:rPr>
          <w:szCs w:val="20"/>
        </w:rPr>
      </w:pPr>
      <w:r w:rsidRPr="00020948">
        <w:rPr>
          <w:szCs w:val="20"/>
        </w:rPr>
        <w:t xml:space="preserve">© igenos e.V. Bullay, </w:t>
      </w:r>
      <w:r w:rsidRPr="00020948">
        <w:rPr>
          <w:szCs w:val="20"/>
        </w:rPr>
        <w:fldChar w:fldCharType="begin"/>
      </w:r>
      <w:r w:rsidRPr="00020948">
        <w:rPr>
          <w:szCs w:val="20"/>
        </w:rPr>
        <w:instrText xml:space="preserve"> TIME \@ "MMMM yyyy" </w:instrText>
      </w:r>
      <w:r w:rsidRPr="00020948">
        <w:rPr>
          <w:szCs w:val="20"/>
        </w:rPr>
        <w:fldChar w:fldCharType="separate"/>
      </w:r>
      <w:r w:rsidR="00177126">
        <w:rPr>
          <w:noProof/>
          <w:szCs w:val="20"/>
        </w:rPr>
        <w:t>Januar 2021</w:t>
      </w:r>
      <w:r w:rsidRPr="00020948">
        <w:rPr>
          <w:szCs w:val="20"/>
        </w:rPr>
        <w:fldChar w:fldCharType="end"/>
      </w:r>
    </w:p>
    <w:p w:rsidR="006D618F" w:rsidRPr="004C35EF" w:rsidRDefault="006D618F" w:rsidP="00DC4350">
      <w:pPr>
        <w:spacing w:after="200"/>
        <w:jc w:val="left"/>
        <w:rPr>
          <w:sz w:val="22"/>
        </w:rPr>
      </w:pPr>
      <w:r w:rsidRPr="00020948">
        <w:rPr>
          <w:szCs w:val="20"/>
        </w:rPr>
        <w:br/>
        <w:t>Alle Rechte, auch die des Nachdrucks von Auszügen, der fotomechan</w:t>
      </w:r>
      <w:r w:rsidRPr="00020948">
        <w:rPr>
          <w:szCs w:val="20"/>
        </w:rPr>
        <w:t>i</w:t>
      </w:r>
      <w:r w:rsidRPr="00020948">
        <w:rPr>
          <w:szCs w:val="20"/>
        </w:rPr>
        <w:t>schen Wiedergabe und der Übersetzung vorbehalten.</w:t>
      </w:r>
    </w:p>
    <w:p w:rsidR="006D618F" w:rsidRDefault="006D618F" w:rsidP="00DC4350">
      <w:pPr>
        <w:spacing w:after="200"/>
        <w:jc w:val="left"/>
        <w:rPr>
          <w:sz w:val="18"/>
          <w:szCs w:val="18"/>
        </w:rPr>
        <w:sectPr w:rsidR="006D618F" w:rsidSect="002023D8">
          <w:pgSz w:w="8732" w:h="12247" w:code="300"/>
          <w:pgMar w:top="851" w:right="624" w:bottom="851" w:left="680" w:header="567" w:footer="567" w:gutter="0"/>
          <w:cols w:space="708"/>
          <w:docGrid w:linePitch="360"/>
        </w:sectPr>
      </w:pPr>
    </w:p>
    <w:p w:rsidR="006D618F" w:rsidRDefault="006D618F" w:rsidP="00F372D0">
      <w:pPr>
        <w:rPr>
          <w:i/>
          <w:sz w:val="24"/>
          <w:szCs w:val="24"/>
        </w:rPr>
      </w:pPr>
    </w:p>
    <w:p w:rsidR="006D618F" w:rsidRDefault="006D618F" w:rsidP="00F372D0">
      <w:pPr>
        <w:rPr>
          <w:i/>
          <w:sz w:val="24"/>
          <w:szCs w:val="24"/>
        </w:rPr>
      </w:pPr>
    </w:p>
    <w:p w:rsidR="006D618F" w:rsidRPr="00C276AA" w:rsidRDefault="006D618F" w:rsidP="007563F3">
      <w:pPr>
        <w:pStyle w:val="KeinLeerraum"/>
        <w:rPr>
          <w:rFonts w:ascii="Verdana" w:hAnsi="Verdana"/>
          <w:i w:val="0"/>
          <w:sz w:val="20"/>
          <w:szCs w:val="20"/>
        </w:rPr>
      </w:pPr>
      <w:r w:rsidRPr="00C276AA">
        <w:rPr>
          <w:rFonts w:ascii="Verdana" w:hAnsi="Verdana"/>
          <w:sz w:val="20"/>
          <w:szCs w:val="20"/>
        </w:rPr>
        <w:t xml:space="preserve">Eine Genossenschaft ist immer das, was menschliche Einsicht, geistige Kraft und persönlicher Mut aus ihr macht. </w:t>
      </w:r>
    </w:p>
    <w:p w:rsidR="006D618F" w:rsidRDefault="006D618F" w:rsidP="00F372D0">
      <w:pPr>
        <w:jc w:val="right"/>
        <w:rPr>
          <w:sz w:val="18"/>
          <w:szCs w:val="18"/>
        </w:rPr>
      </w:pPr>
      <w:r w:rsidRPr="00FE7CF0">
        <w:rPr>
          <w:sz w:val="18"/>
          <w:szCs w:val="18"/>
        </w:rPr>
        <w:t>(Friedrich Wilhelm Raiffeisen)</w:t>
      </w:r>
    </w:p>
    <w:p w:rsidR="006D618F" w:rsidRDefault="006D618F" w:rsidP="00F372D0">
      <w:pPr>
        <w:jc w:val="right"/>
        <w:rPr>
          <w:sz w:val="18"/>
          <w:szCs w:val="18"/>
        </w:rPr>
      </w:pPr>
    </w:p>
    <w:p w:rsidR="006D618F" w:rsidRDefault="006D618F" w:rsidP="00F372D0">
      <w:pPr>
        <w:jc w:val="right"/>
        <w:rPr>
          <w:sz w:val="18"/>
          <w:szCs w:val="18"/>
        </w:rPr>
      </w:pPr>
    </w:p>
    <w:p w:rsidR="006D618F" w:rsidRDefault="006D618F" w:rsidP="00F372D0">
      <w:pPr>
        <w:jc w:val="right"/>
        <w:rPr>
          <w:sz w:val="18"/>
          <w:szCs w:val="18"/>
        </w:rPr>
      </w:pPr>
    </w:p>
    <w:p w:rsidR="006D618F" w:rsidRDefault="006D618F" w:rsidP="00F372D0">
      <w:pPr>
        <w:jc w:val="center"/>
      </w:pPr>
      <w:r>
        <w:rPr>
          <w:noProof/>
          <w:lang w:eastAsia="de-DE"/>
        </w:rPr>
        <w:drawing>
          <wp:inline distT="0" distB="0" distL="0" distR="0" wp14:anchorId="0464BEDA" wp14:editId="27FA66EC">
            <wp:extent cx="3133090" cy="30245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enos-AP-1.4-13.07.2018-1.png"/>
                    <pic:cNvPicPr/>
                  </pic:nvPicPr>
                  <pic:blipFill>
                    <a:blip r:embed="rId12">
                      <a:extLst>
                        <a:ext uri="{28A0092B-C50C-407E-A947-70E740481C1C}">
                          <a14:useLocalDpi xmlns:a14="http://schemas.microsoft.com/office/drawing/2010/main" val="0"/>
                        </a:ext>
                      </a:extLst>
                    </a:blip>
                    <a:stretch>
                      <a:fillRect/>
                    </a:stretch>
                  </pic:blipFill>
                  <pic:spPr>
                    <a:xfrm>
                      <a:off x="0" y="0"/>
                      <a:ext cx="3133090" cy="3024505"/>
                    </a:xfrm>
                    <a:prstGeom prst="rect">
                      <a:avLst/>
                    </a:prstGeom>
                  </pic:spPr>
                </pic:pic>
              </a:graphicData>
            </a:graphic>
          </wp:inline>
        </w:drawing>
      </w:r>
    </w:p>
    <w:p w:rsidR="006D618F" w:rsidRDefault="006D618F" w:rsidP="00F372D0">
      <w:pPr>
        <w:jc w:val="center"/>
      </w:pPr>
    </w:p>
    <w:p w:rsidR="006D618F" w:rsidRDefault="006D618F" w:rsidP="006914CF">
      <w:pPr>
        <w:spacing w:after="200"/>
        <w:jc w:val="left"/>
        <w:rPr>
          <w:b/>
          <w:sz w:val="24"/>
          <w:szCs w:val="24"/>
        </w:rPr>
      </w:pPr>
      <w:r w:rsidRPr="00C276AA">
        <w:rPr>
          <w:rStyle w:val="Fett"/>
          <w:b w:val="0"/>
          <w:i/>
        </w:rPr>
        <w:t xml:space="preserve">Das Grundübel unserer Genossenschaftsbanken liegt darin, dass sie sich zwar als Genossenschaften bezeichnen, aber keine mehr sind. </w:t>
      </w:r>
      <w:r w:rsidRPr="00C276AA">
        <w:rPr>
          <w:rStyle w:val="Fett"/>
          <w:b w:val="0"/>
          <w:i/>
        </w:rPr>
        <w:br/>
        <w:t>Die Mitglieder, als Eigentümer der Genossenschaft, haben in Wahrheit keinen Einfluss mehr und nichts zu sagen</w:t>
      </w:r>
      <w:proofErr w:type="gramStart"/>
      <w:r w:rsidRPr="00C276AA">
        <w:rPr>
          <w:rStyle w:val="Fett"/>
          <w:i/>
          <w:sz w:val="16"/>
          <w:szCs w:val="16"/>
        </w:rPr>
        <w:t xml:space="preserve">. </w:t>
      </w:r>
      <w:r w:rsidRPr="002952CF">
        <w:rPr>
          <w:rStyle w:val="Fett"/>
          <w:sz w:val="16"/>
          <w:szCs w:val="16"/>
        </w:rPr>
        <w:t xml:space="preserve"> </w:t>
      </w:r>
      <w:proofErr w:type="gramEnd"/>
      <w:r w:rsidRPr="002952CF">
        <w:rPr>
          <w:rStyle w:val="Fett"/>
          <w:b w:val="0"/>
          <w:sz w:val="16"/>
          <w:szCs w:val="16"/>
        </w:rPr>
        <w:t>(Georg Scheumann)</w:t>
      </w:r>
    </w:p>
    <w:p w:rsidR="006D618F" w:rsidRDefault="006D618F" w:rsidP="006914CF">
      <w:pPr>
        <w:spacing w:after="200"/>
        <w:jc w:val="left"/>
        <w:rPr>
          <w:b/>
          <w:sz w:val="24"/>
          <w:szCs w:val="24"/>
        </w:rPr>
      </w:pPr>
    </w:p>
    <w:p w:rsidR="006D618F" w:rsidRDefault="006D618F" w:rsidP="006914CF">
      <w:pPr>
        <w:spacing w:after="200"/>
        <w:jc w:val="left"/>
        <w:rPr>
          <w:b/>
          <w:sz w:val="24"/>
          <w:szCs w:val="24"/>
        </w:rPr>
      </w:pPr>
    </w:p>
    <w:p w:rsidR="006D618F" w:rsidRDefault="006D618F" w:rsidP="00F855E4">
      <w:pPr>
        <w:pStyle w:val="berschrift1"/>
        <w:ind w:right="57"/>
        <w:jc w:val="left"/>
      </w:pPr>
      <w:r w:rsidRPr="00307BB6">
        <w:lastRenderedPageBreak/>
        <w:t xml:space="preserve">Ein Nachruf auf die ehemalige </w:t>
      </w:r>
      <w:r w:rsidRPr="008065AC">
        <w:rPr>
          <w:noProof/>
        </w:rPr>
        <w:t>Erfurter Bank eG</w:t>
      </w:r>
      <w:r w:rsidRPr="00307BB6">
        <w:t xml:space="preserve"> </w:t>
      </w:r>
    </w:p>
    <w:p w:rsidR="006D618F" w:rsidRPr="006215F7" w:rsidRDefault="006D618F" w:rsidP="006215F7">
      <w:r w:rsidRPr="006215F7">
        <w:t xml:space="preserve">Diese Informationsschrift ist ein Nachruf auf die ehemalige </w:t>
      </w:r>
      <w:r>
        <w:rPr>
          <w:noProof/>
        </w:rPr>
        <w:t>Erfurter Bank eG</w:t>
      </w:r>
      <w:r w:rsidRPr="006215F7">
        <w:t xml:space="preserve">. Diese hat im Jahr </w:t>
      </w:r>
      <w:r>
        <w:rPr>
          <w:noProof/>
        </w:rPr>
        <w:t>2020</w:t>
      </w:r>
      <w:r w:rsidRPr="006215F7">
        <w:t xml:space="preserve"> unter Aufgabe ihrer eigenen Existenz mit der </w:t>
      </w:r>
      <w:r>
        <w:rPr>
          <w:noProof/>
        </w:rPr>
        <w:t>vr bank Südthüringen eG</w:t>
      </w:r>
      <w:r w:rsidRPr="006215F7">
        <w:t xml:space="preserve"> fusioniert. Dabei wurde von Vorstand und Au</w:t>
      </w:r>
      <w:r w:rsidRPr="006215F7">
        <w:t>f</w:t>
      </w:r>
      <w:r w:rsidRPr="006215F7">
        <w:t xml:space="preserve">sichtsrat mit Billigung des </w:t>
      </w:r>
      <w:r>
        <w:rPr>
          <w:noProof/>
        </w:rPr>
        <w:t>Genossenschaftsverband - Verband der Regionen e.V.</w:t>
      </w:r>
    </w:p>
    <w:p w:rsidR="006D618F" w:rsidRPr="006215F7" w:rsidRDefault="006D618F" w:rsidP="004653AD">
      <w:pPr>
        <w:numPr>
          <w:ilvl w:val="0"/>
          <w:numId w:val="11"/>
        </w:numPr>
        <w:contextualSpacing/>
      </w:pPr>
      <w:r w:rsidRPr="006215F7">
        <w:t xml:space="preserve">das in den langen Jahren des Bestehens der </w:t>
      </w:r>
      <w:r>
        <w:rPr>
          <w:noProof/>
        </w:rPr>
        <w:t>Erfurter Bank eG</w:t>
      </w:r>
      <w:r w:rsidRPr="006215F7">
        <w:t xml:space="preserve"> a</w:t>
      </w:r>
      <w:r w:rsidRPr="006215F7">
        <w:t>n</w:t>
      </w:r>
      <w:r w:rsidRPr="006215F7">
        <w:t xml:space="preserve">gesammelte </w:t>
      </w:r>
      <w:r>
        <w:t>Genossenschaftsv</w:t>
      </w:r>
      <w:r w:rsidRPr="006215F7">
        <w:t xml:space="preserve">ermögen in Höhe von </w:t>
      </w:r>
      <w:r>
        <w:rPr>
          <w:noProof/>
        </w:rPr>
        <w:t>45.459.753</w:t>
      </w:r>
      <w:r w:rsidRPr="006215F7">
        <w:t xml:space="preserve">,00 € </w:t>
      </w:r>
      <w:r>
        <w:t xml:space="preserve">(ca. </w:t>
      </w:r>
      <w:r>
        <w:rPr>
          <w:noProof/>
        </w:rPr>
        <w:t>Fünfundvierzigmillionen</w:t>
      </w:r>
      <w:r w:rsidRPr="00F04346">
        <w:t xml:space="preserve"> Euro</w:t>
      </w:r>
      <w:r>
        <w:t xml:space="preserve">) </w:t>
      </w:r>
      <w:r w:rsidRPr="006215F7">
        <w:t>und</w:t>
      </w:r>
    </w:p>
    <w:p w:rsidR="006D618F" w:rsidRPr="006215F7" w:rsidRDefault="006D618F" w:rsidP="006215F7">
      <w:pPr>
        <w:contextualSpacing/>
      </w:pPr>
    </w:p>
    <w:p w:rsidR="006D618F" w:rsidRPr="006215F7" w:rsidRDefault="006D618F" w:rsidP="00D457E1">
      <w:pPr>
        <w:numPr>
          <w:ilvl w:val="0"/>
          <w:numId w:val="11"/>
        </w:numPr>
        <w:contextualSpacing/>
        <w:jc w:val="left"/>
      </w:pPr>
      <w:r w:rsidRPr="006215F7">
        <w:t xml:space="preserve">ein funktionierendes und florierendes Bankgeschäft, mit dem die </w:t>
      </w:r>
      <w:r>
        <w:rPr>
          <w:noProof/>
        </w:rPr>
        <w:t>Erfurter Bank eG</w:t>
      </w:r>
      <w:r w:rsidRPr="006215F7">
        <w:t xml:space="preserve"> pro Jahr ein Betriebsergebnis </w:t>
      </w:r>
      <w:r w:rsidR="00313C54">
        <w:t xml:space="preserve">pro Jahr </w:t>
      </w:r>
      <w:r w:rsidRPr="006215F7">
        <w:t xml:space="preserve">in Höhe von Ø </w:t>
      </w:r>
      <w:r>
        <w:rPr>
          <w:noProof/>
        </w:rPr>
        <w:t>1.353.205</w:t>
      </w:r>
      <w:r w:rsidRPr="006215F7">
        <w:t>,00 erzielte,</w:t>
      </w:r>
      <w:r>
        <w:br/>
      </w:r>
    </w:p>
    <w:p w:rsidR="006D618F" w:rsidRDefault="006D618F" w:rsidP="006215F7">
      <w:proofErr w:type="gramStart"/>
      <w:r w:rsidRPr="006215F7">
        <w:t>ohne</w:t>
      </w:r>
      <w:proofErr w:type="gramEnd"/>
      <w:r w:rsidRPr="006215F7">
        <w:t xml:space="preserve"> jegliche finanzielle Entschädigung für die </w:t>
      </w:r>
      <w:r>
        <w:rPr>
          <w:noProof/>
        </w:rPr>
        <w:t>13.141</w:t>
      </w:r>
      <w:r w:rsidRPr="006215F7">
        <w:t xml:space="preserve"> Eigentümer (Mi</w:t>
      </w:r>
      <w:r w:rsidRPr="006215F7">
        <w:t>t</w:t>
      </w:r>
      <w:r w:rsidRPr="006215F7">
        <w:t xml:space="preserve">glieder) an die </w:t>
      </w:r>
      <w:r>
        <w:rPr>
          <w:noProof/>
        </w:rPr>
        <w:t>vr bank Südthüringen eG</w:t>
      </w:r>
      <w:r w:rsidRPr="006215F7">
        <w:t xml:space="preserve"> verschenkt. </w:t>
      </w:r>
    </w:p>
    <w:p w:rsidR="006D618F" w:rsidRPr="006215F7" w:rsidRDefault="006D618F" w:rsidP="00952D4E">
      <w:r w:rsidRPr="006215F7">
        <w:t>Aus Umfragen unter Genossenschaftsmitgliedern hat igenos e.V. die E</w:t>
      </w:r>
      <w:r w:rsidRPr="006215F7">
        <w:t>r</w:t>
      </w:r>
      <w:r w:rsidRPr="006215F7">
        <w:t>kenntnis gewonnen, dass die Besonderheiten der Rechtsform „eingetr</w:t>
      </w:r>
      <w:r w:rsidRPr="006215F7">
        <w:t>a</w:t>
      </w:r>
      <w:r w:rsidRPr="006215F7">
        <w:t xml:space="preserve">gene Genossenschaft“ (eG) den meisten Mitgliedern nicht bekannt sind. </w:t>
      </w:r>
    </w:p>
    <w:p w:rsidR="006D618F" w:rsidRDefault="006D618F" w:rsidP="00952D4E">
      <w:r w:rsidRPr="006215F7">
        <w:t>Deshalb hier zum besseren Verständnis der später folgenden Ausführu</w:t>
      </w:r>
      <w:r w:rsidRPr="006215F7">
        <w:t>n</w:t>
      </w:r>
      <w:r w:rsidRPr="006215F7">
        <w:t xml:space="preserve">gen zur Informationspflicht von Vorstand und Aufsichtsrat noch einige Erläuterungen zur Rechtsform </w:t>
      </w:r>
      <w:r>
        <w:t>eG (eingetragene Genossenschaft)</w:t>
      </w:r>
      <w:r w:rsidRPr="006215F7">
        <w:t>, in we</w:t>
      </w:r>
      <w:r w:rsidRPr="006215F7">
        <w:t>l</w:t>
      </w:r>
      <w:r w:rsidRPr="006215F7">
        <w:t xml:space="preserve">cher auch die </w:t>
      </w:r>
      <w:r>
        <w:rPr>
          <w:noProof/>
        </w:rPr>
        <w:t>Erfurter Bank eG</w:t>
      </w:r>
      <w:r>
        <w:t xml:space="preserve"> firmiert.</w:t>
      </w:r>
      <w:r w:rsidRPr="006215F7">
        <w:t xml:space="preserve"> </w:t>
      </w:r>
    </w:p>
    <w:p w:rsidR="006D618F" w:rsidRDefault="006D618F" w:rsidP="00A445FD">
      <w:pPr>
        <w:pStyle w:val="berschrift1"/>
      </w:pPr>
      <w:r w:rsidRPr="00A445FD">
        <w:t>Grundsätzliches</w:t>
      </w:r>
    </w:p>
    <w:p w:rsidR="006D618F" w:rsidRDefault="006D618F" w:rsidP="00A445FD">
      <w:r>
        <w:t xml:space="preserve">Das von der </w:t>
      </w:r>
      <w:r>
        <w:rPr>
          <w:noProof/>
        </w:rPr>
        <w:t xml:space="preserve">Erfurter Bank eG in den langen Jahren des Bestehens angesammelte Vermögen von </w:t>
      </w:r>
      <w:r>
        <w:rPr>
          <w:noProof/>
        </w:rPr>
        <w:t>45.459.753</w:t>
      </w:r>
      <w:r w:rsidRPr="006215F7">
        <w:t>,00 €</w:t>
      </w:r>
      <w:r>
        <w:t xml:space="preserve"> diente der E</w:t>
      </w:r>
      <w:r>
        <w:t>r</w:t>
      </w:r>
      <w:r>
        <w:t>füllung des der Genossenschaft „</w:t>
      </w:r>
      <w:r>
        <w:rPr>
          <w:noProof/>
        </w:rPr>
        <w:t>Erfurter Bank eG</w:t>
      </w:r>
      <w:r>
        <w:t>“ obli</w:t>
      </w:r>
      <w:r>
        <w:t>e</w:t>
      </w:r>
      <w:r>
        <w:t xml:space="preserve">genden Auftrag, ihre eigenen Mitglieder zu fördern. </w:t>
      </w:r>
    </w:p>
    <w:p w:rsidR="006D618F" w:rsidRDefault="006D618F" w:rsidP="00A445FD">
      <w:r>
        <w:t>Die Höhe des Vermögens kam zustande, weil die Mitglieder zur Stärkung des Vermögens Ihrer Genossenschaft auf weitergehende Förderung ve</w:t>
      </w:r>
      <w:r>
        <w:t>r</w:t>
      </w:r>
      <w:r>
        <w:t>zichtet haben.</w:t>
      </w:r>
    </w:p>
    <w:p w:rsidR="006D618F" w:rsidRDefault="006D618F" w:rsidP="00A445FD">
      <w:r>
        <w:t xml:space="preserve">Es war allen aktiv die Fusion betreibenden Vorständen, Aufsichtsräten und Verbänden bekannt, dass bei einer Verschmelzung mit der </w:t>
      </w:r>
      <w:r>
        <w:rPr>
          <w:noProof/>
        </w:rPr>
        <w:t>vr bank Südthüringen eG</w:t>
      </w:r>
      <w:r>
        <w:t xml:space="preserve"> die übertragende Genossenschaft „</w:t>
      </w:r>
      <w:r>
        <w:rPr>
          <w:noProof/>
        </w:rPr>
        <w:t>Erfurter Bank eG</w:t>
      </w:r>
      <w:r>
        <w:t xml:space="preserve">“ </w:t>
      </w:r>
      <w:r>
        <w:lastRenderedPageBreak/>
        <w:t>aufgelöst wird und im Genossenschaftsregister beim Regi</w:t>
      </w:r>
      <w:r>
        <w:t>s</w:t>
      </w:r>
      <w:r>
        <w:t>tergericht nach der langen Zeit des Bestehens gelöscht wird.</w:t>
      </w:r>
    </w:p>
    <w:p w:rsidR="006D618F" w:rsidRDefault="006D618F" w:rsidP="00A445FD">
      <w:r>
        <w:t xml:space="preserve">Mit der Auflösung und Löschung entfiel jedoch auch der Grund für den Verzicht der Mitglieder der </w:t>
      </w:r>
      <w:r>
        <w:rPr>
          <w:noProof/>
        </w:rPr>
        <w:t>Erfurter Bank eG</w:t>
      </w:r>
      <w:r>
        <w:t xml:space="preserve"> auf weitergehende Förd</w:t>
      </w:r>
      <w:r>
        <w:t>e</w:t>
      </w:r>
      <w:r>
        <w:t xml:space="preserve">rung. Das angesammelte Vermögen wurde dadurch frei und stand den Mitgliedern der </w:t>
      </w:r>
      <w:r>
        <w:rPr>
          <w:noProof/>
        </w:rPr>
        <w:t>Erfurter Bank eG</w:t>
      </w:r>
      <w:r>
        <w:t xml:space="preserve"> uneing</w:t>
      </w:r>
      <w:r>
        <w:t>e</w:t>
      </w:r>
      <w:r>
        <w:t>schränkt zu.</w:t>
      </w:r>
    </w:p>
    <w:p w:rsidR="006D618F" w:rsidRDefault="006D618F" w:rsidP="00A445FD">
      <w:r>
        <w:t xml:space="preserve">Laut Verschmelzungsvertrag erfolgte die Fusion durch Übergabe des Vermögens als Ganzes an die </w:t>
      </w:r>
      <w:r>
        <w:rPr>
          <w:noProof/>
        </w:rPr>
        <w:t>vr bank Südthüringen eG</w:t>
      </w:r>
      <w:r>
        <w:t xml:space="preserve">. Das Vermögen der </w:t>
      </w:r>
      <w:r>
        <w:rPr>
          <w:noProof/>
        </w:rPr>
        <w:t>Erfurter Bank eG</w:t>
      </w:r>
      <w:r>
        <w:t xml:space="preserve"> wurde jedoch nicht von den Mitgliedern der </w:t>
      </w:r>
      <w:r>
        <w:rPr>
          <w:noProof/>
        </w:rPr>
        <w:t>vr bank Südthüringen eG</w:t>
      </w:r>
      <w:r>
        <w:t xml:space="preserve">  sondern von den Mitgliedern der </w:t>
      </w:r>
      <w:r>
        <w:rPr>
          <w:noProof/>
        </w:rPr>
        <w:t>Erfurter Bank eG</w:t>
      </w:r>
      <w:r>
        <w:t xml:space="preserve"> e</w:t>
      </w:r>
      <w:r>
        <w:t>r</w:t>
      </w:r>
      <w:r>
        <w:t>wirtschaftet. W</w:t>
      </w:r>
      <w:r>
        <w:t>a</w:t>
      </w:r>
      <w:r>
        <w:t xml:space="preserve">rum sollte es deshalb ohne jeglichen Wertausgleich an die </w:t>
      </w:r>
      <w:r>
        <w:rPr>
          <w:noProof/>
        </w:rPr>
        <w:t>vr bank Südthüringen eG</w:t>
      </w:r>
      <w:r>
        <w:t xml:space="preserve"> ve</w:t>
      </w:r>
      <w:r>
        <w:t>r</w:t>
      </w:r>
      <w:r>
        <w:t>schenkt werden?</w:t>
      </w:r>
    </w:p>
    <w:p w:rsidR="006D618F" w:rsidRDefault="006D618F" w:rsidP="00A445FD">
      <w:r>
        <w:t xml:space="preserve">Deshalb wäre es nicht mehr als recht und billig gewesen, den Mitgliedern der </w:t>
      </w:r>
      <w:r>
        <w:rPr>
          <w:noProof/>
        </w:rPr>
        <w:t>Erfurter Bank eG</w:t>
      </w:r>
      <w:r>
        <w:t xml:space="preserve"> diese </w:t>
      </w:r>
      <w:r>
        <w:rPr>
          <w:noProof/>
        </w:rPr>
        <w:t>45.459.753</w:t>
      </w:r>
      <w:r w:rsidRPr="006215F7">
        <w:t>,00 €</w:t>
      </w:r>
      <w:r>
        <w:t xml:space="preserve"> in Form von Geschäftsguth</w:t>
      </w:r>
      <w:r>
        <w:t>a</w:t>
      </w:r>
      <w:r>
        <w:t xml:space="preserve">ben der </w:t>
      </w:r>
      <w:r>
        <w:rPr>
          <w:noProof/>
        </w:rPr>
        <w:t>vr bank Südthüringen eG</w:t>
      </w:r>
      <w:r>
        <w:t xml:space="preserve"> gutzuschreiben. Das wäre pro ei</w:t>
      </w:r>
      <w:r>
        <w:t>n</w:t>
      </w:r>
      <w:r>
        <w:t xml:space="preserve">zelnen Geschäftsanteil der </w:t>
      </w:r>
      <w:r>
        <w:rPr>
          <w:noProof/>
        </w:rPr>
        <w:t>Erfurter Bank eG</w:t>
      </w:r>
      <w:r>
        <w:t xml:space="preserve"> ein zusätzlicher B</w:t>
      </w:r>
      <w:r>
        <w:t>e</w:t>
      </w:r>
      <w:r>
        <w:t xml:space="preserve">trag von </w:t>
      </w:r>
      <w:r>
        <w:rPr>
          <w:noProof/>
        </w:rPr>
        <w:t>103</w:t>
      </w:r>
      <w:r>
        <w:t xml:space="preserve">,00 €, zusammen mit den Geschäftsanteil von </w:t>
      </w:r>
      <w:r>
        <w:rPr>
          <w:noProof/>
        </w:rPr>
        <w:t>25</w:t>
      </w:r>
      <w:r>
        <w:t xml:space="preserve">,00 € somit </w:t>
      </w:r>
      <w:r>
        <w:rPr>
          <w:noProof/>
        </w:rPr>
        <w:t>127,75000000000001</w:t>
      </w:r>
      <w:r>
        <w:t xml:space="preserve">,00 € gewesen. Der Gegenwert dafür wären </w:t>
      </w:r>
      <w:r w:rsidRPr="008065AC">
        <w:rPr>
          <w:noProof/>
          <w:color w:val="FF0000"/>
        </w:rPr>
        <w:t>1,25</w:t>
      </w:r>
      <w:r>
        <w:rPr>
          <w:color w:val="FF0000"/>
        </w:rPr>
        <w:t xml:space="preserve"> </w:t>
      </w:r>
      <w:r>
        <w:t>Geschäft</w:t>
      </w:r>
      <w:r>
        <w:t>s</w:t>
      </w:r>
      <w:r>
        <w:t xml:space="preserve">anteile der </w:t>
      </w:r>
      <w:r>
        <w:rPr>
          <w:noProof/>
        </w:rPr>
        <w:t>vr bank Südthüringen eG</w:t>
      </w:r>
      <w:r>
        <w:t xml:space="preserve"> zu je </w:t>
      </w:r>
      <w:r>
        <w:rPr>
          <w:noProof/>
        </w:rPr>
        <w:t>100</w:t>
      </w:r>
      <w:r>
        <w:t>,00 € gewesen.</w:t>
      </w:r>
    </w:p>
    <w:p w:rsidR="006D618F" w:rsidRDefault="006D618F" w:rsidP="00A445FD">
      <w:r>
        <w:t xml:space="preserve">Die Mitglieder der ehemaligen </w:t>
      </w:r>
      <w:r>
        <w:rPr>
          <w:noProof/>
        </w:rPr>
        <w:t>Erfurter Bank eG</w:t>
      </w:r>
      <w:r>
        <w:t xml:space="preserve"> sollten von ihren damal</w:t>
      </w:r>
      <w:r>
        <w:t>i</w:t>
      </w:r>
      <w:r>
        <w:t>gen Vorständen und Aufsichtsräten Rechenschaft da</w:t>
      </w:r>
      <w:r>
        <w:t>r</w:t>
      </w:r>
      <w:r>
        <w:t>über fordern, warum dies nicht geschehen ist.</w:t>
      </w:r>
    </w:p>
    <w:p w:rsidR="006D618F" w:rsidRDefault="006D618F" w:rsidP="00A445FD">
      <w:r>
        <w:t>Woanders funktioniert es schließlich auch, wie ab Seite 10 zu lesen ist.</w:t>
      </w:r>
    </w:p>
    <w:p w:rsidR="006D618F" w:rsidRDefault="006D618F" w:rsidP="00A445FD">
      <w:r>
        <w:t>Am Eigenkapital der vereinigten Genossenschaftsbank ändert sich durch die Umwandlung aller Rücklagen in Geschäftsguthaben de Mitglieder a</w:t>
      </w:r>
      <w:r>
        <w:t>b</w:t>
      </w:r>
      <w:r>
        <w:t xml:space="preserve">solut nichts.  </w:t>
      </w:r>
    </w:p>
    <w:p w:rsidR="006D618F" w:rsidRPr="00AE1A30" w:rsidRDefault="006D618F" w:rsidP="001829C3">
      <w:pPr>
        <w:pStyle w:val="berschrift1"/>
      </w:pPr>
      <w:r w:rsidRPr="00AE1A30">
        <w:t>Genossenschaftsbanken und ihr gesetzlicher Auftrag</w:t>
      </w:r>
    </w:p>
    <w:p w:rsidR="006D618F" w:rsidRPr="006215F7" w:rsidRDefault="006D618F" w:rsidP="00F437AD">
      <w:r w:rsidRPr="006215F7">
        <w:t xml:space="preserve">Bei der </w:t>
      </w:r>
      <w:r>
        <w:rPr>
          <w:noProof/>
        </w:rPr>
        <w:t xml:space="preserve">Erfurter Bank eG </w:t>
      </w:r>
      <w:r>
        <w:t xml:space="preserve">handelt sich </w:t>
      </w:r>
      <w:r w:rsidRPr="006215F7">
        <w:t xml:space="preserve">um </w:t>
      </w:r>
      <w:r>
        <w:t>ein Unternehmen, we</w:t>
      </w:r>
      <w:r>
        <w:t>l</w:t>
      </w:r>
      <w:r>
        <w:t>ches von d</w:t>
      </w:r>
      <w:r w:rsidRPr="006215F7">
        <w:t>en Gründungsmitglieder</w:t>
      </w:r>
      <w:r>
        <w:t>n</w:t>
      </w:r>
      <w:r w:rsidRPr="006215F7">
        <w:t xml:space="preserve"> </w:t>
      </w:r>
      <w:r>
        <w:t>bewusst als Genossenschaft gegrü</w:t>
      </w:r>
      <w:r>
        <w:t>n</w:t>
      </w:r>
      <w:r>
        <w:t xml:space="preserve">det wurde und </w:t>
      </w:r>
      <w:r w:rsidRPr="006215F7">
        <w:t xml:space="preserve">als Unternehmensgegenstand das Bankgeschäft gewählt </w:t>
      </w:r>
      <w:r>
        <w:t>wu</w:t>
      </w:r>
      <w:r>
        <w:t>r</w:t>
      </w:r>
      <w:r>
        <w:t>de</w:t>
      </w:r>
      <w:r w:rsidRPr="006215F7">
        <w:t xml:space="preserve">. </w:t>
      </w:r>
    </w:p>
    <w:p w:rsidR="006D618F" w:rsidRDefault="006D618F" w:rsidP="00952D4E">
      <w:r w:rsidRPr="006215F7">
        <w:t xml:space="preserve">Denn die Rechtsform „eingetragene Genossenschaft“ (eG) ist eine ganz besondere Rechtsform. Anders als eine kapitalorientierte Rechtsform wie z. B. </w:t>
      </w:r>
      <w:r>
        <w:t xml:space="preserve">die </w:t>
      </w:r>
      <w:r w:rsidRPr="006215F7">
        <w:t xml:space="preserve">AG oder </w:t>
      </w:r>
      <w:r>
        <w:t xml:space="preserve">die </w:t>
      </w:r>
      <w:r w:rsidRPr="006215F7">
        <w:t>GmbH</w:t>
      </w:r>
      <w:r>
        <w:t>,</w:t>
      </w:r>
      <w:r w:rsidRPr="006215F7">
        <w:t xml:space="preserve"> ist sie eine mitgliederorientierte Rechtsform. Während kapitalorientierte Rechtsformen Gewinne erzielen müssen</w:t>
      </w:r>
      <w:r>
        <w:t>,</w:t>
      </w:r>
      <w:r w:rsidRPr="006215F7">
        <w:t xml:space="preserve"> um durch Gewinnmaximierung den Wert der Unternehmensanteile ihrer A</w:t>
      </w:r>
      <w:r w:rsidRPr="006215F7">
        <w:t>n</w:t>
      </w:r>
      <w:r w:rsidRPr="006215F7">
        <w:lastRenderedPageBreak/>
        <w:t>teilseigner zu erhöhen, ist die Aufgabe einer Genossenschaft</w:t>
      </w:r>
      <w:r>
        <w:t>,</w:t>
      </w:r>
      <w:r w:rsidRPr="006215F7">
        <w:t xml:space="preserve"> </w:t>
      </w:r>
      <w:r>
        <w:t>die Mitgli</w:t>
      </w:r>
      <w:r>
        <w:t>e</w:t>
      </w:r>
      <w:r>
        <w:t>der als Eigentümer und Anteilseigner ihrer Genossenschaft bei deren G</w:t>
      </w:r>
      <w:r>
        <w:t>e</w:t>
      </w:r>
      <w:r>
        <w:t>schäften mit der Genossenschaft zu fördern. Gewinne müssen in der Rechtsform Genossenschaft den Mitgliedern direkt und unmittelbar z</w:t>
      </w:r>
      <w:r>
        <w:t>u</w:t>
      </w:r>
      <w:r>
        <w:t xml:space="preserve">gutekommen, </w:t>
      </w:r>
      <w:proofErr w:type="gramStart"/>
      <w:r>
        <w:t>sei</w:t>
      </w:r>
      <w:proofErr w:type="gramEnd"/>
      <w:r>
        <w:t xml:space="preserve"> es durch Verminderung der persönlichen Ausgaben oder durch Erhöhung der persönlichen Einnahmen der Mitglieder. Das schließt eine Gewinnmaximierung aus. </w:t>
      </w:r>
    </w:p>
    <w:p w:rsidR="006D618F" w:rsidRPr="006215F7" w:rsidRDefault="006D618F" w:rsidP="00952D4E">
      <w:r w:rsidRPr="006215F7">
        <w:t>Hätten die Genossenschaftsbanken und vor allem ihre genossenschaft</w:t>
      </w:r>
      <w:r>
        <w:t>l</w:t>
      </w:r>
      <w:r>
        <w:t>i</w:t>
      </w:r>
      <w:r>
        <w:t>chen Prüfungsverbände die</w:t>
      </w:r>
      <w:r w:rsidRPr="006215F7">
        <w:t xml:space="preserve"> gesetzliche Vorgabe</w:t>
      </w:r>
      <w:r>
        <w:t>,</w:t>
      </w:r>
      <w:r w:rsidRPr="006215F7">
        <w:t xml:space="preserve"> </w:t>
      </w:r>
      <w:r>
        <w:t xml:space="preserve">dass die Gewinne aus sämtlichen Geschäften mit Mitgliedern, die in der Genossenschaft getätigt werden, wieder an die Mitglieder zurückfließen müssen, </w:t>
      </w:r>
      <w:r w:rsidRPr="006215F7">
        <w:t>ernst genommen, dann hätte bereits vor Jahrzehnten die Erkenntnis aufkommen müssen, dass die Rechtsform Genossenschaft für Banken</w:t>
      </w:r>
      <w:r>
        <w:t>,</w:t>
      </w:r>
      <w:r w:rsidRPr="006215F7">
        <w:t xml:space="preserve"> die das Universalban</w:t>
      </w:r>
      <w:r w:rsidRPr="006215F7">
        <w:t>k</w:t>
      </w:r>
      <w:r w:rsidRPr="006215F7">
        <w:t xml:space="preserve">geschäft betreiben wollen, vollkommen ungeeignet ist.  </w:t>
      </w:r>
    </w:p>
    <w:p w:rsidR="006D618F" w:rsidRPr="006215F7" w:rsidRDefault="006D618F" w:rsidP="00952D4E">
      <w:r>
        <w:t xml:space="preserve">Dennoch sind die Genossenschaftsbanken heute ebenso aufgestellt, </w:t>
      </w:r>
      <w:r w:rsidRPr="006215F7">
        <w:t>wie Banken anderer Rechtsformen. Gewinnmaximierung und Vermögensa</w:t>
      </w:r>
      <w:r w:rsidRPr="006215F7">
        <w:t>n</w:t>
      </w:r>
      <w:r w:rsidRPr="006215F7">
        <w:t>häufung zu Gunsten der Genossenschaft</w:t>
      </w:r>
      <w:r>
        <w:t xml:space="preserve"> </w:t>
      </w:r>
      <w:r w:rsidRPr="006215F7">
        <w:t xml:space="preserve">stehen im Vordergrund. </w:t>
      </w:r>
      <w:r>
        <w:t xml:space="preserve">Diese Praxis wird </w:t>
      </w:r>
      <w:r w:rsidRPr="006215F7">
        <w:t xml:space="preserve">von </w:t>
      </w:r>
      <w:r>
        <w:t xml:space="preserve">den </w:t>
      </w:r>
      <w:r w:rsidRPr="006215F7">
        <w:t>genossenschaftlichen Prüfungsverbänden</w:t>
      </w:r>
      <w:r>
        <w:t xml:space="preserve"> geduldet und gefördert</w:t>
      </w:r>
      <w:r w:rsidRPr="006215F7">
        <w:t>, zu deren gesetzlicher Aufgabe auch der Schutz der Geno</w:t>
      </w:r>
      <w:r w:rsidRPr="006215F7">
        <w:t>s</w:t>
      </w:r>
      <w:r w:rsidRPr="006215F7">
        <w:t>senschaftsmitglieder zählt.</w:t>
      </w:r>
      <w:r>
        <w:t xml:space="preserve"> Zwar betonen sie</w:t>
      </w:r>
      <w:r w:rsidRPr="00B20055">
        <w:t>, dass sie zum Wohle der Mitglieder durch Spenden und sonstige Unterstützungsleistungen deren Heimatregion för</w:t>
      </w:r>
      <w:r>
        <w:t>der</w:t>
      </w:r>
      <w:r w:rsidRPr="00B20055">
        <w:t xml:space="preserve">n. Soziales Engagement zeigen jedoch auch andere Unternehmen und zur Region gehören auch viele Menschen, die keiner Genossenschaft angehören. </w:t>
      </w:r>
      <w:r>
        <w:t>Mit der in § 2 Abs. 1 der Satzung jeder G</w:t>
      </w:r>
      <w:r>
        <w:t>e</w:t>
      </w:r>
      <w:r>
        <w:t>nossenschaftsbank sowie in § 1 Abs. 1 GenG verankerten Mitgliederförd</w:t>
      </w:r>
      <w:r>
        <w:t>e</w:t>
      </w:r>
      <w:r>
        <w:t>rung hat das nichts zu tun. Von einer Aufgabe, die Region im Gebiet der Genossenschaft zu fördern, ist in Gesetz und Satzung nichts zu finden.</w:t>
      </w:r>
    </w:p>
    <w:p w:rsidR="006D618F" w:rsidRPr="00AE1A30" w:rsidRDefault="006D618F" w:rsidP="001829C3">
      <w:pPr>
        <w:pStyle w:val="berschrift1"/>
      </w:pPr>
      <w:r w:rsidRPr="00AE1A30">
        <w:t>Fusionen genossenschaftlicher Banken</w:t>
      </w:r>
      <w:r>
        <w:t xml:space="preserve"> am Beispiel der </w:t>
      </w:r>
      <w:r w:rsidRPr="008065AC">
        <w:rPr>
          <w:noProof/>
        </w:rPr>
        <w:t>Erfurter Bank eG</w:t>
      </w:r>
    </w:p>
    <w:p w:rsidR="006D618F" w:rsidRDefault="006D618F" w:rsidP="00952D4E">
      <w:r>
        <w:t xml:space="preserve">Grundsätzlich ist gegen Fusionen auf Augenhöhe nichts einzuwenden. </w:t>
      </w:r>
      <w:r w:rsidRPr="006215F7">
        <w:t xml:space="preserve">Zwischenzeitlich sind bei den Genossenschaftsbanken </w:t>
      </w:r>
      <w:r>
        <w:t xml:space="preserve">aber </w:t>
      </w:r>
      <w:r w:rsidRPr="006215F7">
        <w:t>durch G</w:t>
      </w:r>
      <w:r w:rsidRPr="006215F7">
        <w:t>e</w:t>
      </w:r>
      <w:r w:rsidRPr="006215F7">
        <w:t>winnmaximierung erhebliche Vermögenswer</w:t>
      </w:r>
      <w:r>
        <w:t>te erzielt worden</w:t>
      </w:r>
      <w:r w:rsidRPr="006215F7">
        <w:t>. Zwar wäre es der Generalversammlung oder Vertreterversammlung als oberstem Organ einer Genossenschaft möglich, durch Beschluss die Auflösung von Rücklagen zwecks Umwandlung in Geschäftsguthaben der Mitglieder zu beschließen. Doch dies wird –</w:t>
      </w:r>
      <w:r>
        <w:t xml:space="preserve"> </w:t>
      </w:r>
      <w:r w:rsidRPr="006215F7">
        <w:t>insbesondere auf Weisung der Genosse</w:t>
      </w:r>
      <w:r w:rsidRPr="006215F7">
        <w:t>n</w:t>
      </w:r>
      <w:r w:rsidRPr="006215F7">
        <w:t xml:space="preserve">schaftsverbände – massiv verhindert. Zusätzlich werden den Mitgliedern </w:t>
      </w:r>
      <w:r w:rsidRPr="006215F7">
        <w:lastRenderedPageBreak/>
        <w:t>und Vertretern sämtliche Informationen bewusst vorenthalten, die sie dazu verleiten könnten, ihre aus der Mitgliedschaft erwachsenden Rechte einzufordern. Ganz besonders gilt dies bei Fusionen.</w:t>
      </w:r>
    </w:p>
    <w:p w:rsidR="006D618F" w:rsidRDefault="006D618F" w:rsidP="00952D4E">
      <w:r>
        <w:t>Die Gründe sind vielfältig:</w:t>
      </w:r>
    </w:p>
    <w:p w:rsidR="006D618F" w:rsidRDefault="006D618F" w:rsidP="000D3DF6">
      <w:pPr>
        <w:pStyle w:val="Listenabsatz"/>
        <w:numPr>
          <w:ilvl w:val="0"/>
          <w:numId w:val="15"/>
        </w:numPr>
      </w:pPr>
      <w:r>
        <w:t>Der Vorstand möchte eine noch größere Bank schaffen, mit dem Nebeneffekt, dass sich auch sein Gehalt erhöht</w:t>
      </w:r>
    </w:p>
    <w:p w:rsidR="006D618F" w:rsidRDefault="006D618F" w:rsidP="000D3DF6">
      <w:pPr>
        <w:pStyle w:val="Listenabsatz"/>
        <w:numPr>
          <w:ilvl w:val="0"/>
          <w:numId w:val="15"/>
        </w:numPr>
      </w:pPr>
      <w:r>
        <w:t>Der zuständige Prüfungsverband fordert die kleine oder mittlere Genossenschaftsbank zur Fusion auf. Stimmt der Vorstand nicht zu, wird er vom Verband unter Mithilfe der BAFIN aus dem Amt entfernt und die Fusion unter dem Nachfolger durchgeführt.</w:t>
      </w:r>
    </w:p>
    <w:p w:rsidR="006D618F" w:rsidRPr="006215F7" w:rsidRDefault="006D618F" w:rsidP="00952D4E">
      <w:r w:rsidRPr="006215F7">
        <w:t>Bei allen Fusionen der Vergangenheit, die zwischen zwei oder mehr G</w:t>
      </w:r>
      <w:r w:rsidRPr="006215F7">
        <w:t>e</w:t>
      </w:r>
      <w:r w:rsidRPr="006215F7">
        <w:t>nossenschaftsbanken stattfanden, waren die Genossenschaftsmitglieder stets die großen Verlierer. Und auch heute ist es noch nicht anders.</w:t>
      </w:r>
      <w:r>
        <w:t xml:space="preserve"> </w:t>
      </w:r>
      <w:r w:rsidRPr="006215F7">
        <w:t>A</w:t>
      </w:r>
      <w:r w:rsidRPr="006215F7">
        <w:t>n</w:t>
      </w:r>
      <w:r w:rsidRPr="006215F7">
        <w:t xml:space="preserve">geblich zwingt das wirtschaftliche Umfeld, wie z.B. das anhaltend niedrige Zinsniveau in der Eurozone, die weiterhin hohe Unsicherheit bezüglich der wirtschaftlichen Entwicklung in Deutschland sowie die regulatorischen Anforderungen und Vorgaben der Bankenaufsicht die </w:t>
      </w:r>
      <w:r>
        <w:rPr>
          <w:noProof/>
        </w:rPr>
        <w:t xml:space="preserve">Volksbanken </w:t>
      </w:r>
      <w:r w:rsidRPr="006215F7">
        <w:t xml:space="preserve">zur Fusion. </w:t>
      </w:r>
    </w:p>
    <w:p w:rsidR="006D618F" w:rsidRDefault="006D618F" w:rsidP="00952D4E">
      <w:r w:rsidRPr="006215F7">
        <w:t>All dies betrifft jedoch ausschließlich das Bankgeschäft. Was auf der Str</w:t>
      </w:r>
      <w:r w:rsidRPr="006215F7">
        <w:t>e</w:t>
      </w:r>
      <w:r w:rsidRPr="006215F7">
        <w:t>cke bleibt, üb</w:t>
      </w:r>
      <w:r>
        <w:t>erhaupt nicht berücksichtigt oder</w:t>
      </w:r>
      <w:r w:rsidRPr="006215F7">
        <w:t xml:space="preserve"> von Vorstand, Aufsichtsrat und Genossenschaftsverband bewusst verschwie</w:t>
      </w:r>
      <w:r>
        <w:t>gen und übergangen wird</w:t>
      </w:r>
      <w:r w:rsidRPr="006215F7">
        <w:t>, ist die unumstößliche Tatsache, dass</w:t>
      </w:r>
      <w:r>
        <w:t xml:space="preserve"> genossenschaftliche Banken in erster Linie eine Genossenschaft sind und erst in zweiter Linie eine Bank. Das </w:t>
      </w:r>
      <w:r w:rsidRPr="006215F7">
        <w:t xml:space="preserve">heißt, dass die Mitglieder im Vordergrund </w:t>
      </w:r>
      <w:r>
        <w:t>stehen müssen</w:t>
      </w:r>
      <w:r w:rsidRPr="006215F7">
        <w:t xml:space="preserve"> und nicht </w:t>
      </w:r>
      <w:r>
        <w:t xml:space="preserve">die </w:t>
      </w:r>
      <w:r w:rsidRPr="006215F7">
        <w:t>Wünsche und Eigeninteressen von Vorstand und Verband.</w:t>
      </w:r>
      <w:r>
        <w:t xml:space="preserve"> Vor allem darf bei einer Fusion nicht die Übertragung des Genossenschaftsverm</w:t>
      </w:r>
      <w:r>
        <w:t>ö</w:t>
      </w:r>
      <w:r>
        <w:t xml:space="preserve">gens an die aufnehmende Genossenschaftsbank ohne jeglichen Ersatz erfolgen. Bei der </w:t>
      </w:r>
      <w:r>
        <w:rPr>
          <w:noProof/>
        </w:rPr>
        <w:t>Erfurter Bank eG</w:t>
      </w:r>
      <w:r>
        <w:t xml:space="preserve"> kommt noch hinzu, dass das Geno</w:t>
      </w:r>
      <w:r>
        <w:t>s</w:t>
      </w:r>
      <w:r>
        <w:t>senschaftsvermögen im Selbstförderkreislauf erwirtscha</w:t>
      </w:r>
      <w:r>
        <w:t>f</w:t>
      </w:r>
      <w:r>
        <w:t xml:space="preserve">tet wurde. Daher steht es ausschließlich den Mitgliedern zu. </w:t>
      </w:r>
    </w:p>
    <w:p w:rsidR="006D618F" w:rsidRDefault="006D618F" w:rsidP="000D3DF6">
      <w:pPr>
        <w:spacing w:after="200"/>
      </w:pPr>
      <w:r>
        <w:t xml:space="preserve">Ohne Wissen über diese Zusammenhänge ist die </w:t>
      </w:r>
      <w:r>
        <w:rPr>
          <w:noProof/>
        </w:rPr>
        <w:t>Vertreterversammlung</w:t>
      </w:r>
      <w:r>
        <w:t xml:space="preserve"> der </w:t>
      </w:r>
      <w:r>
        <w:rPr>
          <w:noProof/>
        </w:rPr>
        <w:t>Erfurter Bank eG</w:t>
      </w:r>
      <w:r>
        <w:t>, im Vertrauen auf das Wort des Vorstands, dessen Empfehlung gefolgt und hat der Fusion zug</w:t>
      </w:r>
      <w:r>
        <w:t>e</w:t>
      </w:r>
      <w:r>
        <w:t xml:space="preserve">stimmt. </w:t>
      </w:r>
    </w:p>
    <w:p w:rsidR="006D618F" w:rsidRPr="006215F7" w:rsidRDefault="006D618F" w:rsidP="00780234">
      <w:pPr>
        <w:pStyle w:val="berschrift1"/>
      </w:pPr>
      <w:r>
        <w:lastRenderedPageBreak/>
        <w:t xml:space="preserve">Das Vermögen der </w:t>
      </w:r>
      <w:r w:rsidRPr="008065AC">
        <w:rPr>
          <w:noProof/>
        </w:rPr>
        <w:t>Erfurter Bank eG</w:t>
      </w:r>
      <w:r>
        <w:t xml:space="preserve"> </w:t>
      </w:r>
    </w:p>
    <w:p w:rsidR="006D618F" w:rsidRDefault="006D618F" w:rsidP="00AE2AB6">
      <w:pPr>
        <w:spacing w:after="0"/>
      </w:pPr>
      <w:r>
        <w:t xml:space="preserve">Das Vermögen der ehemaligen </w:t>
      </w:r>
      <w:r>
        <w:rPr>
          <w:noProof/>
        </w:rPr>
        <w:t>Erfurter Bank eG</w:t>
      </w:r>
      <w:r>
        <w:t xml:space="preserve"> besitzt jetzt die </w:t>
      </w:r>
      <w:r>
        <w:rPr>
          <w:noProof/>
        </w:rPr>
        <w:t>vr bank Südthüringen eG</w:t>
      </w:r>
      <w:r>
        <w:t>. Die folgenden Zahlen ze</w:t>
      </w:r>
      <w:r>
        <w:t>i</w:t>
      </w:r>
      <w:r>
        <w:t xml:space="preserve">gen, dass die Mitglieder der </w:t>
      </w:r>
      <w:r>
        <w:rPr>
          <w:noProof/>
        </w:rPr>
        <w:t>Erfurter Bank eG</w:t>
      </w:r>
      <w:r>
        <w:t xml:space="preserve"> die Verli</w:t>
      </w:r>
      <w:r>
        <w:t>e</w:t>
      </w:r>
      <w:r>
        <w:t>rer sind:</w:t>
      </w:r>
    </w:p>
    <w:p w:rsidR="006D618F" w:rsidRPr="006215F7" w:rsidRDefault="006D618F" w:rsidP="006215F7">
      <w:r w:rsidRPr="006215F7">
        <w:t xml:space="preserve">Aus dem igenos e.V. vorliegenden Jahresabschluss </w:t>
      </w:r>
      <w:r>
        <w:rPr>
          <w:noProof/>
        </w:rPr>
        <w:t>2019</w:t>
      </w:r>
      <w:r w:rsidRPr="006215F7">
        <w:t xml:space="preserve"> wurden zum Vermögen der </w:t>
      </w:r>
      <w:r>
        <w:rPr>
          <w:noProof/>
        </w:rPr>
        <w:t>Erfurter Bank eG</w:t>
      </w:r>
      <w:r>
        <w:t xml:space="preserve"> </w:t>
      </w:r>
      <w:r w:rsidRPr="006215F7">
        <w:t>folgende Zahlen ermi</w:t>
      </w:r>
      <w:r w:rsidRPr="006215F7">
        <w:t>t</w:t>
      </w:r>
      <w:r w:rsidRPr="006215F7">
        <w:t xml:space="preserve">telt. </w:t>
      </w:r>
    </w:p>
    <w:tbl>
      <w:tblPr>
        <w:tblStyle w:val="Tabellenraster"/>
        <w:tblW w:w="7348" w:type="dxa"/>
        <w:jc w:val="center"/>
        <w:tblLook w:val="04A0" w:firstRow="1" w:lastRow="0" w:firstColumn="1" w:lastColumn="0" w:noHBand="0" w:noVBand="1"/>
      </w:tblPr>
      <w:tblGrid>
        <w:gridCol w:w="4853"/>
        <w:gridCol w:w="693"/>
        <w:gridCol w:w="1802"/>
      </w:tblGrid>
      <w:tr w:rsidR="006D618F" w:rsidRPr="00C36496" w:rsidTr="00F33EC2">
        <w:trPr>
          <w:trHeight w:val="802"/>
          <w:jc w:val="center"/>
        </w:trPr>
        <w:tc>
          <w:tcPr>
            <w:tcW w:w="4853" w:type="dxa"/>
            <w:vAlign w:val="center"/>
          </w:tcPr>
          <w:p w:rsidR="006D618F" w:rsidRPr="00C36496" w:rsidRDefault="006D618F" w:rsidP="006215F7">
            <w:pPr>
              <w:jc w:val="center"/>
              <w:rPr>
                <w:rFonts w:asciiTheme="minorHAnsi" w:hAnsiTheme="minorHAnsi" w:cstheme="minorHAnsi"/>
                <w:b/>
                <w:sz w:val="24"/>
                <w:szCs w:val="24"/>
              </w:rPr>
            </w:pPr>
            <w:r w:rsidRPr="00C36496">
              <w:rPr>
                <w:rFonts w:asciiTheme="minorHAnsi" w:hAnsiTheme="minorHAnsi" w:cstheme="minorHAnsi"/>
                <w:b/>
                <w:sz w:val="24"/>
                <w:szCs w:val="24"/>
              </w:rPr>
              <w:t>Bezeichnung</w:t>
            </w:r>
          </w:p>
        </w:tc>
        <w:tc>
          <w:tcPr>
            <w:tcW w:w="2495" w:type="dxa"/>
            <w:gridSpan w:val="2"/>
            <w:vAlign w:val="center"/>
          </w:tcPr>
          <w:p w:rsidR="006D618F" w:rsidRPr="00C36496" w:rsidRDefault="006D618F" w:rsidP="006215F7">
            <w:pPr>
              <w:jc w:val="center"/>
              <w:rPr>
                <w:rFonts w:asciiTheme="minorHAnsi" w:hAnsiTheme="minorHAnsi" w:cstheme="minorHAnsi"/>
                <w:b/>
                <w:sz w:val="24"/>
                <w:szCs w:val="24"/>
              </w:rPr>
            </w:pPr>
            <w:r w:rsidRPr="00C36496">
              <w:rPr>
                <w:rFonts w:asciiTheme="minorHAnsi" w:hAnsiTheme="minorHAnsi" w:cstheme="minorHAnsi"/>
                <w:b/>
                <w:sz w:val="24"/>
                <w:szCs w:val="24"/>
              </w:rPr>
              <w:t>Betrag</w:t>
            </w:r>
          </w:p>
        </w:tc>
      </w:tr>
      <w:tr w:rsidR="006D618F" w:rsidRPr="007954B6" w:rsidTr="00F33EC2">
        <w:trPr>
          <w:trHeight w:hRule="exact" w:val="567"/>
          <w:jc w:val="center"/>
        </w:trPr>
        <w:tc>
          <w:tcPr>
            <w:tcW w:w="4853" w:type="dxa"/>
            <w:tcBorders>
              <w:top w:val="single" w:sz="4" w:space="0" w:color="auto"/>
              <w:left w:val="nil"/>
              <w:bottom w:val="nil"/>
              <w:right w:val="nil"/>
            </w:tcBorders>
            <w:vAlign w:val="center"/>
          </w:tcPr>
          <w:p w:rsidR="006D618F" w:rsidRPr="007954B6" w:rsidRDefault="006D618F" w:rsidP="006215F7">
            <w:pPr>
              <w:jc w:val="left"/>
              <w:rPr>
                <w:rFonts w:cstheme="minorHAnsi"/>
                <w:szCs w:val="20"/>
              </w:rPr>
            </w:pPr>
            <w:r w:rsidRPr="007954B6">
              <w:rPr>
                <w:rFonts w:cstheme="minorHAnsi"/>
                <w:szCs w:val="20"/>
              </w:rPr>
              <w:t xml:space="preserve">Fonds für allgemeine Bankrisiken  </w:t>
            </w:r>
            <w:r w:rsidRPr="007954B6">
              <w:rPr>
                <w:rFonts w:cstheme="minorHAnsi"/>
                <w:szCs w:val="20"/>
              </w:rPr>
              <w:br/>
              <w:t>(Passivposten 11)</w:t>
            </w:r>
          </w:p>
        </w:tc>
        <w:tc>
          <w:tcPr>
            <w:tcW w:w="2495" w:type="dxa"/>
            <w:gridSpan w:val="2"/>
            <w:tcBorders>
              <w:top w:val="single" w:sz="4" w:space="0" w:color="auto"/>
              <w:left w:val="nil"/>
              <w:bottom w:val="nil"/>
              <w:right w:val="nil"/>
            </w:tcBorders>
            <w:vAlign w:val="center"/>
          </w:tcPr>
          <w:p w:rsidR="006D618F" w:rsidRPr="007954B6" w:rsidRDefault="006D618F" w:rsidP="006215F7">
            <w:pPr>
              <w:jc w:val="right"/>
              <w:rPr>
                <w:rFonts w:cstheme="minorHAnsi"/>
                <w:szCs w:val="20"/>
              </w:rPr>
            </w:pPr>
            <w:r>
              <w:rPr>
                <w:rFonts w:cstheme="minorHAnsi"/>
                <w:noProof/>
                <w:szCs w:val="20"/>
              </w:rPr>
              <w:t>25.000.000</w:t>
            </w:r>
            <w:r w:rsidRPr="007954B6">
              <w:rPr>
                <w:rFonts w:cstheme="minorHAnsi"/>
                <w:noProof/>
                <w:szCs w:val="20"/>
              </w:rPr>
              <w:t>,00 €</w:t>
            </w:r>
          </w:p>
        </w:tc>
      </w:tr>
      <w:tr w:rsidR="006D618F" w:rsidRPr="007954B6" w:rsidTr="00F33EC2">
        <w:trPr>
          <w:trHeight w:hRule="exact" w:val="284"/>
          <w:jc w:val="center"/>
        </w:trPr>
        <w:tc>
          <w:tcPr>
            <w:tcW w:w="4853" w:type="dxa"/>
            <w:tcBorders>
              <w:top w:val="nil"/>
              <w:left w:val="nil"/>
              <w:bottom w:val="nil"/>
              <w:right w:val="nil"/>
            </w:tcBorders>
            <w:vAlign w:val="center"/>
          </w:tcPr>
          <w:p w:rsidR="006D618F" w:rsidRPr="007954B6" w:rsidRDefault="006D618F" w:rsidP="007377C8">
            <w:pPr>
              <w:jc w:val="left"/>
              <w:rPr>
                <w:rFonts w:cstheme="minorHAnsi"/>
                <w:szCs w:val="20"/>
              </w:rPr>
            </w:pPr>
            <w:r w:rsidRPr="007954B6">
              <w:rPr>
                <w:rFonts w:cstheme="minorHAnsi"/>
                <w:szCs w:val="20"/>
              </w:rPr>
              <w:t>Kapitalrücklage  (Passivposten 12 b)</w:t>
            </w:r>
          </w:p>
        </w:tc>
        <w:tc>
          <w:tcPr>
            <w:tcW w:w="2495" w:type="dxa"/>
            <w:gridSpan w:val="2"/>
            <w:tcBorders>
              <w:top w:val="nil"/>
              <w:left w:val="nil"/>
              <w:bottom w:val="nil"/>
              <w:right w:val="nil"/>
            </w:tcBorders>
            <w:vAlign w:val="center"/>
          </w:tcPr>
          <w:p w:rsidR="006D618F" w:rsidRPr="007954B6" w:rsidRDefault="006D618F" w:rsidP="00F33EC2">
            <w:pPr>
              <w:jc w:val="right"/>
              <w:rPr>
                <w:rFonts w:cstheme="minorHAnsi"/>
                <w:szCs w:val="20"/>
              </w:rPr>
            </w:pPr>
            <w:r w:rsidRPr="007954B6">
              <w:rPr>
                <w:rFonts w:cstheme="minorHAnsi"/>
                <w:noProof/>
                <w:szCs w:val="20"/>
              </w:rPr>
              <w:t xml:space="preserve">   </w:t>
            </w:r>
            <w:r w:rsidRPr="008065AC">
              <w:rPr>
                <w:rFonts w:cstheme="minorHAnsi"/>
                <w:noProof/>
                <w:szCs w:val="20"/>
              </w:rPr>
              <w:t>0</w:t>
            </w:r>
            <w:r w:rsidRPr="007954B6">
              <w:rPr>
                <w:rFonts w:cstheme="minorHAnsi"/>
                <w:noProof/>
                <w:szCs w:val="20"/>
              </w:rPr>
              <w:t>,00 €</w:t>
            </w:r>
          </w:p>
        </w:tc>
      </w:tr>
      <w:tr w:rsidR="006D618F" w:rsidRPr="007954B6" w:rsidTr="00F33EC2">
        <w:trPr>
          <w:trHeight w:hRule="exact" w:val="284"/>
          <w:jc w:val="center"/>
        </w:trPr>
        <w:tc>
          <w:tcPr>
            <w:tcW w:w="4853" w:type="dxa"/>
            <w:tcBorders>
              <w:top w:val="nil"/>
              <w:left w:val="nil"/>
              <w:bottom w:val="nil"/>
              <w:right w:val="nil"/>
            </w:tcBorders>
            <w:vAlign w:val="center"/>
          </w:tcPr>
          <w:p w:rsidR="006D618F" w:rsidRPr="007954B6" w:rsidRDefault="006D618F" w:rsidP="007377C8">
            <w:pPr>
              <w:jc w:val="left"/>
              <w:rPr>
                <w:rFonts w:cstheme="minorHAnsi"/>
                <w:szCs w:val="20"/>
              </w:rPr>
            </w:pPr>
            <w:r w:rsidRPr="007954B6">
              <w:rPr>
                <w:rFonts w:cstheme="minorHAnsi"/>
                <w:szCs w:val="20"/>
              </w:rPr>
              <w:t xml:space="preserve">Gesetzliche Rücklage  Passivposten 12 </w:t>
            </w:r>
            <w:proofErr w:type="spellStart"/>
            <w:r w:rsidRPr="007954B6">
              <w:rPr>
                <w:rFonts w:cstheme="minorHAnsi"/>
                <w:szCs w:val="20"/>
              </w:rPr>
              <w:t>ca</w:t>
            </w:r>
            <w:proofErr w:type="spellEnd"/>
            <w:r w:rsidRPr="007954B6">
              <w:rPr>
                <w:rFonts w:cstheme="minorHAnsi"/>
                <w:szCs w:val="20"/>
              </w:rPr>
              <w:t>)</w:t>
            </w:r>
          </w:p>
        </w:tc>
        <w:tc>
          <w:tcPr>
            <w:tcW w:w="2495" w:type="dxa"/>
            <w:gridSpan w:val="2"/>
            <w:tcBorders>
              <w:top w:val="nil"/>
              <w:left w:val="nil"/>
              <w:bottom w:val="nil"/>
              <w:right w:val="nil"/>
            </w:tcBorders>
            <w:vAlign w:val="center"/>
          </w:tcPr>
          <w:p w:rsidR="006D618F" w:rsidRPr="007954B6" w:rsidRDefault="006D618F" w:rsidP="006215F7">
            <w:pPr>
              <w:jc w:val="right"/>
              <w:rPr>
                <w:rFonts w:cstheme="minorHAnsi"/>
                <w:szCs w:val="20"/>
              </w:rPr>
            </w:pPr>
            <w:r>
              <w:rPr>
                <w:rFonts w:cstheme="minorHAnsi"/>
                <w:noProof/>
                <w:szCs w:val="20"/>
              </w:rPr>
              <w:t>8.470.000</w:t>
            </w:r>
            <w:r w:rsidRPr="007954B6">
              <w:rPr>
                <w:rFonts w:cstheme="minorHAnsi"/>
                <w:noProof/>
                <w:szCs w:val="20"/>
              </w:rPr>
              <w:t>,00 €</w:t>
            </w:r>
          </w:p>
        </w:tc>
      </w:tr>
      <w:tr w:rsidR="006D618F" w:rsidRPr="007954B6" w:rsidTr="00F33EC2">
        <w:trPr>
          <w:trHeight w:hRule="exact" w:val="284"/>
          <w:jc w:val="center"/>
        </w:trPr>
        <w:tc>
          <w:tcPr>
            <w:tcW w:w="4853" w:type="dxa"/>
            <w:tcBorders>
              <w:top w:val="nil"/>
              <w:left w:val="nil"/>
              <w:bottom w:val="nil"/>
              <w:right w:val="nil"/>
            </w:tcBorders>
            <w:vAlign w:val="center"/>
          </w:tcPr>
          <w:p w:rsidR="006D618F" w:rsidRPr="007954B6" w:rsidRDefault="006D618F" w:rsidP="007377C8">
            <w:pPr>
              <w:jc w:val="left"/>
              <w:rPr>
                <w:rFonts w:cstheme="minorHAnsi"/>
                <w:szCs w:val="20"/>
              </w:rPr>
            </w:pPr>
            <w:r w:rsidRPr="007954B6">
              <w:rPr>
                <w:rFonts w:cstheme="minorHAnsi"/>
                <w:szCs w:val="20"/>
              </w:rPr>
              <w:t>Andere Rücklagen (Passivposten 12 b)</w:t>
            </w:r>
          </w:p>
        </w:tc>
        <w:tc>
          <w:tcPr>
            <w:tcW w:w="2495" w:type="dxa"/>
            <w:gridSpan w:val="2"/>
            <w:tcBorders>
              <w:top w:val="nil"/>
              <w:left w:val="nil"/>
              <w:bottom w:val="nil"/>
              <w:right w:val="nil"/>
            </w:tcBorders>
            <w:vAlign w:val="center"/>
          </w:tcPr>
          <w:p w:rsidR="006D618F" w:rsidRPr="007954B6" w:rsidRDefault="006D618F" w:rsidP="006215F7">
            <w:pPr>
              <w:jc w:val="right"/>
              <w:rPr>
                <w:rFonts w:cstheme="minorHAnsi"/>
                <w:szCs w:val="20"/>
              </w:rPr>
            </w:pPr>
            <w:r>
              <w:rPr>
                <w:rFonts w:cstheme="minorHAnsi"/>
                <w:noProof/>
                <w:szCs w:val="20"/>
              </w:rPr>
              <w:t>7.795.000</w:t>
            </w:r>
            <w:r w:rsidRPr="007954B6">
              <w:rPr>
                <w:rFonts w:cstheme="minorHAnsi"/>
                <w:noProof/>
                <w:szCs w:val="20"/>
              </w:rPr>
              <w:t>,00 €</w:t>
            </w:r>
          </w:p>
        </w:tc>
      </w:tr>
      <w:tr w:rsidR="006D618F" w:rsidRPr="007954B6" w:rsidTr="00F33EC2">
        <w:trPr>
          <w:trHeight w:hRule="exact" w:val="284"/>
          <w:jc w:val="center"/>
        </w:trPr>
        <w:tc>
          <w:tcPr>
            <w:tcW w:w="4853" w:type="dxa"/>
            <w:tcBorders>
              <w:top w:val="nil"/>
              <w:left w:val="nil"/>
              <w:bottom w:val="nil"/>
              <w:right w:val="nil"/>
            </w:tcBorders>
            <w:vAlign w:val="center"/>
          </w:tcPr>
          <w:p w:rsidR="006D618F" w:rsidRPr="007954B6" w:rsidRDefault="006D618F" w:rsidP="007377C8">
            <w:pPr>
              <w:jc w:val="left"/>
              <w:rPr>
                <w:rFonts w:cstheme="minorHAnsi"/>
                <w:szCs w:val="20"/>
              </w:rPr>
            </w:pPr>
            <w:r w:rsidRPr="007954B6">
              <w:rPr>
                <w:rFonts w:cstheme="minorHAnsi"/>
                <w:szCs w:val="20"/>
              </w:rPr>
              <w:t>Bilanzgewinn 2018 (Passivposten 12d)</w:t>
            </w:r>
          </w:p>
        </w:tc>
        <w:tc>
          <w:tcPr>
            <w:tcW w:w="2495" w:type="dxa"/>
            <w:gridSpan w:val="2"/>
            <w:tcBorders>
              <w:top w:val="nil"/>
              <w:left w:val="nil"/>
              <w:bottom w:val="single" w:sz="4" w:space="0" w:color="auto"/>
              <w:right w:val="nil"/>
            </w:tcBorders>
            <w:vAlign w:val="center"/>
          </w:tcPr>
          <w:p w:rsidR="006D618F" w:rsidRPr="007954B6" w:rsidRDefault="006D618F" w:rsidP="006215F7">
            <w:pPr>
              <w:jc w:val="right"/>
              <w:rPr>
                <w:rFonts w:cstheme="minorHAnsi"/>
                <w:szCs w:val="20"/>
              </w:rPr>
            </w:pPr>
            <w:r>
              <w:rPr>
                <w:rFonts w:cstheme="minorHAnsi"/>
                <w:noProof/>
                <w:szCs w:val="20"/>
              </w:rPr>
              <w:t>399.753</w:t>
            </w:r>
            <w:r w:rsidRPr="007954B6">
              <w:rPr>
                <w:rFonts w:cstheme="minorHAnsi"/>
                <w:noProof/>
                <w:szCs w:val="20"/>
              </w:rPr>
              <w:t>,00 €</w:t>
            </w:r>
          </w:p>
        </w:tc>
      </w:tr>
      <w:tr w:rsidR="006D618F" w:rsidRPr="007954B6" w:rsidTr="00F33EC2">
        <w:trPr>
          <w:trHeight w:hRule="exact" w:val="794"/>
          <w:jc w:val="center"/>
        </w:trPr>
        <w:tc>
          <w:tcPr>
            <w:tcW w:w="4853" w:type="dxa"/>
            <w:tcBorders>
              <w:top w:val="nil"/>
              <w:left w:val="nil"/>
              <w:bottom w:val="nil"/>
              <w:right w:val="nil"/>
            </w:tcBorders>
            <w:vAlign w:val="center"/>
          </w:tcPr>
          <w:p w:rsidR="006D618F" w:rsidRPr="007954B6" w:rsidRDefault="006D618F" w:rsidP="007954B6">
            <w:pPr>
              <w:jc w:val="left"/>
              <w:rPr>
                <w:rFonts w:cstheme="minorHAnsi"/>
                <w:szCs w:val="20"/>
              </w:rPr>
            </w:pPr>
            <w:r w:rsidRPr="007954B6">
              <w:rPr>
                <w:rFonts w:cstheme="minorHAnsi"/>
                <w:szCs w:val="20"/>
              </w:rPr>
              <w:t>stille Vorsorgereserven für allgemeine Ban</w:t>
            </w:r>
            <w:r w:rsidRPr="007954B6">
              <w:rPr>
                <w:rFonts w:cstheme="minorHAnsi"/>
                <w:szCs w:val="20"/>
              </w:rPr>
              <w:t>k</w:t>
            </w:r>
            <w:r w:rsidRPr="007954B6">
              <w:rPr>
                <w:rFonts w:cstheme="minorHAnsi"/>
                <w:szCs w:val="20"/>
              </w:rPr>
              <w:t>risiken nach § 340f HGB (aus Offenlegung</w:t>
            </w:r>
            <w:r w:rsidRPr="007954B6">
              <w:rPr>
                <w:rFonts w:cstheme="minorHAnsi"/>
                <w:szCs w:val="20"/>
              </w:rPr>
              <w:t>s</w:t>
            </w:r>
            <w:r w:rsidRPr="007954B6">
              <w:rPr>
                <w:rFonts w:cstheme="minorHAnsi"/>
                <w:szCs w:val="20"/>
              </w:rPr>
              <w:t>bericht)</w:t>
            </w:r>
          </w:p>
        </w:tc>
        <w:tc>
          <w:tcPr>
            <w:tcW w:w="2495" w:type="dxa"/>
            <w:gridSpan w:val="2"/>
            <w:tcBorders>
              <w:top w:val="nil"/>
              <w:left w:val="nil"/>
              <w:bottom w:val="nil"/>
              <w:right w:val="nil"/>
            </w:tcBorders>
            <w:vAlign w:val="center"/>
          </w:tcPr>
          <w:p w:rsidR="006D618F" w:rsidRPr="007954B6" w:rsidRDefault="006D618F" w:rsidP="006215F7">
            <w:pPr>
              <w:jc w:val="right"/>
              <w:rPr>
                <w:rFonts w:cstheme="minorHAnsi"/>
                <w:szCs w:val="20"/>
              </w:rPr>
            </w:pPr>
            <w:r>
              <w:rPr>
                <w:rFonts w:cstheme="minorHAnsi"/>
                <w:noProof/>
                <w:szCs w:val="20"/>
              </w:rPr>
              <w:t>3.795.000</w:t>
            </w:r>
            <w:r w:rsidRPr="007954B6">
              <w:rPr>
                <w:rFonts w:cstheme="minorHAnsi"/>
                <w:noProof/>
                <w:szCs w:val="20"/>
              </w:rPr>
              <w:t>,00 €</w:t>
            </w:r>
          </w:p>
        </w:tc>
      </w:tr>
      <w:tr w:rsidR="006D618F" w:rsidRPr="007954B6" w:rsidTr="00F33EC2">
        <w:trPr>
          <w:trHeight w:val="227"/>
          <w:jc w:val="center"/>
        </w:trPr>
        <w:tc>
          <w:tcPr>
            <w:tcW w:w="4853" w:type="dxa"/>
            <w:tcBorders>
              <w:top w:val="nil"/>
              <w:left w:val="nil"/>
              <w:bottom w:val="nil"/>
              <w:right w:val="nil"/>
            </w:tcBorders>
            <w:vAlign w:val="center"/>
          </w:tcPr>
          <w:p w:rsidR="006D618F" w:rsidRPr="007954B6" w:rsidRDefault="006D618F" w:rsidP="006215F7">
            <w:pPr>
              <w:jc w:val="left"/>
              <w:rPr>
                <w:rFonts w:cstheme="minorHAnsi"/>
                <w:szCs w:val="20"/>
              </w:rPr>
            </w:pPr>
            <w:r w:rsidRPr="007954B6">
              <w:rPr>
                <w:rFonts w:cstheme="minorHAnsi"/>
                <w:b/>
                <w:szCs w:val="20"/>
              </w:rPr>
              <w:t xml:space="preserve"> Vermögen der Genossenschaft</w:t>
            </w:r>
          </w:p>
        </w:tc>
        <w:tc>
          <w:tcPr>
            <w:tcW w:w="2495" w:type="dxa"/>
            <w:gridSpan w:val="2"/>
            <w:tcBorders>
              <w:top w:val="single" w:sz="4" w:space="0" w:color="auto"/>
              <w:left w:val="nil"/>
              <w:bottom w:val="nil"/>
              <w:right w:val="nil"/>
            </w:tcBorders>
            <w:vAlign w:val="center"/>
          </w:tcPr>
          <w:p w:rsidR="006D618F" w:rsidRPr="007954B6" w:rsidRDefault="006D618F" w:rsidP="006215F7">
            <w:pPr>
              <w:jc w:val="right"/>
              <w:rPr>
                <w:rFonts w:cstheme="minorHAnsi"/>
                <w:b/>
                <w:szCs w:val="20"/>
              </w:rPr>
            </w:pPr>
            <w:r>
              <w:rPr>
                <w:rFonts w:cstheme="minorHAnsi"/>
                <w:b/>
                <w:noProof/>
                <w:szCs w:val="20"/>
              </w:rPr>
              <w:t>45.459.753</w:t>
            </w:r>
            <w:r w:rsidRPr="007954B6">
              <w:rPr>
                <w:rFonts w:cstheme="minorHAnsi"/>
                <w:b/>
                <w:noProof/>
                <w:szCs w:val="20"/>
              </w:rPr>
              <w:t>,00 €</w:t>
            </w:r>
          </w:p>
        </w:tc>
      </w:tr>
      <w:tr w:rsidR="006D618F" w:rsidRPr="007954B6" w:rsidTr="00F33EC2">
        <w:trPr>
          <w:trHeight w:hRule="exact" w:val="510"/>
          <w:jc w:val="center"/>
        </w:trPr>
        <w:tc>
          <w:tcPr>
            <w:tcW w:w="4853" w:type="dxa"/>
            <w:tcBorders>
              <w:top w:val="nil"/>
              <w:left w:val="nil"/>
              <w:bottom w:val="nil"/>
              <w:right w:val="nil"/>
            </w:tcBorders>
            <w:vAlign w:val="center"/>
          </w:tcPr>
          <w:p w:rsidR="006D618F" w:rsidRPr="007954B6" w:rsidRDefault="006D618F" w:rsidP="00274013">
            <w:pPr>
              <w:jc w:val="left"/>
              <w:rPr>
                <w:rFonts w:cstheme="minorHAnsi"/>
                <w:szCs w:val="20"/>
              </w:rPr>
            </w:pPr>
            <w:r w:rsidRPr="007954B6">
              <w:rPr>
                <w:rFonts w:cstheme="minorHAnsi"/>
                <w:szCs w:val="20"/>
              </w:rPr>
              <w:t>eingezahlte Geschäftsguthaben der Mitglieder (Passivposten 12 a)</w:t>
            </w:r>
          </w:p>
        </w:tc>
        <w:tc>
          <w:tcPr>
            <w:tcW w:w="2495" w:type="dxa"/>
            <w:gridSpan w:val="2"/>
            <w:tcBorders>
              <w:top w:val="nil"/>
              <w:left w:val="nil"/>
              <w:bottom w:val="nil"/>
              <w:right w:val="nil"/>
            </w:tcBorders>
            <w:vAlign w:val="center"/>
          </w:tcPr>
          <w:p w:rsidR="006D618F" w:rsidRPr="007954B6" w:rsidRDefault="006D618F" w:rsidP="007B10AD">
            <w:pPr>
              <w:jc w:val="right"/>
              <w:rPr>
                <w:rFonts w:cstheme="minorHAnsi"/>
                <w:szCs w:val="20"/>
              </w:rPr>
            </w:pPr>
            <w:r>
              <w:rPr>
                <w:rFonts w:cstheme="minorHAnsi"/>
                <w:noProof/>
                <w:szCs w:val="20"/>
              </w:rPr>
              <w:t>11.072.625</w:t>
            </w:r>
            <w:r w:rsidRPr="007954B6">
              <w:rPr>
                <w:rFonts w:cstheme="minorHAnsi"/>
                <w:noProof/>
                <w:szCs w:val="20"/>
              </w:rPr>
              <w:t>,00 €</w:t>
            </w:r>
          </w:p>
        </w:tc>
      </w:tr>
      <w:tr w:rsidR="006D618F" w:rsidRPr="007954B6" w:rsidTr="00F33EC2">
        <w:trPr>
          <w:trHeight w:hRule="exact" w:val="397"/>
          <w:jc w:val="center"/>
        </w:trPr>
        <w:tc>
          <w:tcPr>
            <w:tcW w:w="4853" w:type="dxa"/>
            <w:tcBorders>
              <w:top w:val="nil"/>
              <w:left w:val="nil"/>
              <w:bottom w:val="nil"/>
              <w:right w:val="nil"/>
            </w:tcBorders>
            <w:vAlign w:val="center"/>
          </w:tcPr>
          <w:p w:rsidR="006D618F" w:rsidRPr="007954B6" w:rsidRDefault="006D618F" w:rsidP="007954B6">
            <w:pPr>
              <w:jc w:val="left"/>
              <w:rPr>
                <w:rFonts w:cstheme="minorHAnsi"/>
                <w:b/>
                <w:szCs w:val="20"/>
              </w:rPr>
            </w:pPr>
            <w:r w:rsidRPr="007954B6">
              <w:rPr>
                <w:rFonts w:cstheme="minorHAnsi"/>
                <w:b/>
                <w:szCs w:val="20"/>
              </w:rPr>
              <w:t>Gesamtvermögen</w:t>
            </w:r>
          </w:p>
        </w:tc>
        <w:tc>
          <w:tcPr>
            <w:tcW w:w="2495" w:type="dxa"/>
            <w:gridSpan w:val="2"/>
            <w:tcBorders>
              <w:top w:val="nil"/>
              <w:left w:val="nil"/>
              <w:bottom w:val="nil"/>
              <w:right w:val="nil"/>
            </w:tcBorders>
            <w:vAlign w:val="center"/>
          </w:tcPr>
          <w:p w:rsidR="006D618F" w:rsidRPr="007954B6" w:rsidRDefault="006D618F" w:rsidP="00F33EC2">
            <w:pPr>
              <w:jc w:val="right"/>
              <w:rPr>
                <w:rFonts w:cstheme="minorHAnsi"/>
                <w:b/>
                <w:szCs w:val="20"/>
                <w:u w:val="double"/>
              </w:rPr>
            </w:pPr>
            <w:r>
              <w:rPr>
                <w:rFonts w:cstheme="minorHAnsi"/>
                <w:b/>
                <w:noProof/>
                <w:szCs w:val="20"/>
                <w:u w:val="double"/>
              </w:rPr>
              <w:t>56.532.378</w:t>
            </w:r>
            <w:r w:rsidRPr="007954B6">
              <w:rPr>
                <w:rFonts w:cstheme="minorHAnsi"/>
                <w:b/>
                <w:szCs w:val="20"/>
                <w:u w:val="double"/>
              </w:rPr>
              <w:t>,00 €</w:t>
            </w:r>
          </w:p>
        </w:tc>
      </w:tr>
      <w:tr w:rsidR="006D618F" w:rsidRPr="007954B6" w:rsidTr="00F33EC2">
        <w:trPr>
          <w:trHeight w:val="227"/>
          <w:jc w:val="center"/>
        </w:trPr>
        <w:tc>
          <w:tcPr>
            <w:tcW w:w="5546" w:type="dxa"/>
            <w:gridSpan w:val="2"/>
            <w:tcBorders>
              <w:top w:val="nil"/>
              <w:left w:val="nil"/>
              <w:bottom w:val="nil"/>
              <w:right w:val="nil"/>
            </w:tcBorders>
            <w:vAlign w:val="center"/>
          </w:tcPr>
          <w:p w:rsidR="006D618F" w:rsidRPr="007954B6" w:rsidRDefault="006D618F" w:rsidP="00602135">
            <w:pPr>
              <w:jc w:val="left"/>
              <w:rPr>
                <w:rFonts w:cstheme="minorHAnsi"/>
                <w:szCs w:val="20"/>
              </w:rPr>
            </w:pPr>
            <w:r w:rsidRPr="007954B6">
              <w:rPr>
                <w:rFonts w:cstheme="minorHAnsi"/>
                <w:b/>
                <w:szCs w:val="20"/>
              </w:rPr>
              <w:t xml:space="preserve"> Innerer Wert </w:t>
            </w:r>
            <w:r w:rsidRPr="007954B6">
              <w:rPr>
                <w:rFonts w:cstheme="minorHAnsi"/>
                <w:b/>
                <w:szCs w:val="20"/>
                <w:u w:val="single"/>
              </w:rPr>
              <w:t>pro 1 € Geschäftsguthaben</w:t>
            </w:r>
            <w:r w:rsidRPr="007954B6">
              <w:rPr>
                <w:rFonts w:cstheme="minorHAnsi"/>
                <w:b/>
                <w:szCs w:val="20"/>
              </w:rPr>
              <w:br/>
              <w:t xml:space="preserve"> </w:t>
            </w:r>
            <w:r w:rsidRPr="007954B6">
              <w:rPr>
                <w:rFonts w:cstheme="minorHAnsi"/>
                <w:szCs w:val="20"/>
              </w:rPr>
              <w:t>(Gesamtvermögen : Geschäftsguthaben)</w:t>
            </w:r>
          </w:p>
        </w:tc>
        <w:tc>
          <w:tcPr>
            <w:tcW w:w="1802" w:type="dxa"/>
            <w:tcBorders>
              <w:top w:val="nil"/>
              <w:left w:val="nil"/>
              <w:bottom w:val="nil"/>
              <w:right w:val="nil"/>
            </w:tcBorders>
            <w:vAlign w:val="center"/>
          </w:tcPr>
          <w:p w:rsidR="006D618F" w:rsidRPr="007954B6" w:rsidRDefault="006D618F" w:rsidP="00F33EC2">
            <w:pPr>
              <w:jc w:val="right"/>
              <w:rPr>
                <w:rFonts w:cstheme="minorHAnsi"/>
                <w:b/>
                <w:szCs w:val="20"/>
              </w:rPr>
            </w:pPr>
            <w:r w:rsidRPr="007954B6">
              <w:rPr>
                <w:rFonts w:cstheme="minorHAnsi"/>
                <w:b/>
                <w:noProof/>
                <w:szCs w:val="20"/>
              </w:rPr>
              <w:t xml:space="preserve">   </w:t>
            </w:r>
            <w:r>
              <w:rPr>
                <w:rFonts w:cstheme="minorHAnsi"/>
                <w:b/>
                <w:noProof/>
                <w:szCs w:val="20"/>
              </w:rPr>
              <w:t xml:space="preserve">   5,11</w:t>
            </w:r>
            <w:r>
              <w:rPr>
                <w:rFonts w:cstheme="minorHAnsi"/>
                <w:b/>
                <w:noProof/>
                <w:szCs w:val="20"/>
              </w:rPr>
              <w:t xml:space="preserve"> </w:t>
            </w:r>
            <w:r w:rsidRPr="007954B6">
              <w:rPr>
                <w:rFonts w:cstheme="minorHAnsi"/>
                <w:b/>
                <w:szCs w:val="20"/>
              </w:rPr>
              <w:t>€</w:t>
            </w:r>
          </w:p>
        </w:tc>
      </w:tr>
    </w:tbl>
    <w:p w:rsidR="006D618F" w:rsidRDefault="006D618F" w:rsidP="006215F7">
      <w:r>
        <w:t>Nicht eingerechnet sind stille Reserven in Wertpapieren, Immobilien, B</w:t>
      </w:r>
      <w:r>
        <w:t>e</w:t>
      </w:r>
      <w:r>
        <w:t>teiligungen und dgl.</w:t>
      </w:r>
    </w:p>
    <w:p w:rsidR="006D618F" w:rsidRPr="006215F7" w:rsidRDefault="006D618F" w:rsidP="006215F7">
      <w:r>
        <w:t xml:space="preserve">Aus dieser Berechnung ergibt sich, dass ein einzelner Geschäftsanteil </w:t>
      </w:r>
      <w:r w:rsidR="00313C54">
        <w:t xml:space="preserve">von </w:t>
      </w:r>
      <w:r w:rsidR="00313C54">
        <w:rPr>
          <w:noProof/>
        </w:rPr>
        <w:t>25,00</w:t>
      </w:r>
      <w:r>
        <w:t xml:space="preserve"> Euro bei der </w:t>
      </w:r>
      <w:r>
        <w:rPr>
          <w:noProof/>
        </w:rPr>
        <w:t>Erfurter Bank eG</w:t>
      </w:r>
      <w:r>
        <w:t xml:space="preserve"> einen inneren Vermögen</w:t>
      </w:r>
      <w:r>
        <w:t>s</w:t>
      </w:r>
      <w:r>
        <w:t xml:space="preserve">wert </w:t>
      </w:r>
      <w:r w:rsidR="00313C54">
        <w:t xml:space="preserve">von </w:t>
      </w:r>
      <w:r w:rsidR="00313C54">
        <w:rPr>
          <w:noProof/>
        </w:rPr>
        <w:t>127,75</w:t>
      </w:r>
      <w:r>
        <w:t xml:space="preserve"> Euro hatte. Dieser teilte sich auf </w:t>
      </w:r>
      <w:r w:rsidR="00313C54">
        <w:t xml:space="preserve">in </w:t>
      </w:r>
      <w:r w:rsidR="00313C54">
        <w:rPr>
          <w:noProof/>
        </w:rPr>
        <w:t>25,00</w:t>
      </w:r>
      <w:r w:rsidRPr="006215F7">
        <w:t xml:space="preserve"> €</w:t>
      </w:r>
      <w:r>
        <w:t xml:space="preserve"> Geschäft</w:t>
      </w:r>
      <w:r>
        <w:t>s</w:t>
      </w:r>
      <w:r>
        <w:t xml:space="preserve">guthaben zuzüglich </w:t>
      </w:r>
      <w:r>
        <w:rPr>
          <w:noProof/>
        </w:rPr>
        <w:t>103</w:t>
      </w:r>
      <w:r>
        <w:t>,00 € direkten Anteil am Vermögenswert der Genosse</w:t>
      </w:r>
      <w:r>
        <w:t>n</w:t>
      </w:r>
      <w:r>
        <w:t>schaft.</w:t>
      </w:r>
    </w:p>
    <w:p w:rsidR="006D618F" w:rsidRPr="006215F7" w:rsidRDefault="006D618F" w:rsidP="001F3B91">
      <w:r>
        <w:t xml:space="preserve">Bei der Fusion wurden pro Geschäftsanteil diese </w:t>
      </w:r>
      <w:r>
        <w:rPr>
          <w:noProof/>
        </w:rPr>
        <w:t>103</w:t>
      </w:r>
      <w:r>
        <w:t xml:space="preserve">,00 € an die </w:t>
      </w:r>
      <w:r>
        <w:rPr>
          <w:noProof/>
        </w:rPr>
        <w:t>vr bank Südthüringen eG</w:t>
      </w:r>
      <w:r>
        <w:t xml:space="preserve"> übertragen und damit verschenkt. Den Mitgliedern ve</w:t>
      </w:r>
      <w:r>
        <w:t>r</w:t>
      </w:r>
      <w:r>
        <w:t xml:space="preserve">blieb nur der selbst einbezahlte Betrag </w:t>
      </w:r>
      <w:r w:rsidR="00313C54">
        <w:t xml:space="preserve">von </w:t>
      </w:r>
      <w:r w:rsidR="00313C54">
        <w:rPr>
          <w:noProof/>
        </w:rPr>
        <w:t>25,00</w:t>
      </w:r>
      <w:r w:rsidRPr="006215F7">
        <w:t xml:space="preserve"> €</w:t>
      </w:r>
      <w:r>
        <w:t xml:space="preserve">. </w:t>
      </w:r>
      <w:r w:rsidRPr="006215F7">
        <w:t>Die Mi</w:t>
      </w:r>
      <w:r w:rsidRPr="006215F7">
        <w:t>t</w:t>
      </w:r>
      <w:r w:rsidRPr="006215F7">
        <w:t>glieder der</w:t>
      </w:r>
      <w:r>
        <w:t xml:space="preserve"> </w:t>
      </w:r>
      <w:r>
        <w:rPr>
          <w:noProof/>
        </w:rPr>
        <w:t>Erfurter Bank eG</w:t>
      </w:r>
      <w:r w:rsidRPr="006215F7">
        <w:t xml:space="preserve"> wurden dadurch massiv benachteiligt. Sie wussten d</w:t>
      </w:r>
      <w:r w:rsidRPr="006215F7">
        <w:t>a</w:t>
      </w:r>
      <w:r w:rsidRPr="006215F7">
        <w:t>von allerdings nichts, weil sie nicht darüber informiert wurden.</w:t>
      </w:r>
      <w:r w:rsidRPr="001F3B91">
        <w:t xml:space="preserve"> </w:t>
      </w:r>
      <w:r>
        <w:t>Die</w:t>
      </w:r>
      <w:r w:rsidRPr="006215F7">
        <w:t xml:space="preserve"> Fusion </w:t>
      </w:r>
      <w:r w:rsidRPr="006215F7">
        <w:lastRenderedPageBreak/>
        <w:t>führt</w:t>
      </w:r>
      <w:r>
        <w:t>e</w:t>
      </w:r>
      <w:r w:rsidRPr="006215F7">
        <w:t xml:space="preserve"> bei der übergebenden </w:t>
      </w:r>
      <w:r>
        <w:rPr>
          <w:noProof/>
        </w:rPr>
        <w:t>Erfurter Bank eG</w:t>
      </w:r>
      <w:r w:rsidRPr="006215F7">
        <w:t xml:space="preserve"> dazu, dass </w:t>
      </w:r>
      <w:r w:rsidR="00313C54">
        <w:t>Erfurter Bank eG</w:t>
      </w:r>
      <w:r w:rsidRPr="006215F7">
        <w:t xml:space="preserve"> nach Zustimmung der </w:t>
      </w:r>
      <w:r>
        <w:rPr>
          <w:noProof/>
        </w:rPr>
        <w:t>Vertreter</w:t>
      </w:r>
      <w:r>
        <w:t xml:space="preserve"> zur</w:t>
      </w:r>
      <w:r w:rsidRPr="006215F7">
        <w:t xml:space="preserve"> Fusion ihre Existenz nach langen Jahren des B</w:t>
      </w:r>
      <w:r w:rsidRPr="006215F7">
        <w:t>e</w:t>
      </w:r>
      <w:r w:rsidRPr="006215F7">
        <w:t>stehens unwiderruflich beendet</w:t>
      </w:r>
      <w:r>
        <w:t>e</w:t>
      </w:r>
      <w:r w:rsidRPr="006215F7">
        <w:t>.</w:t>
      </w:r>
    </w:p>
    <w:p w:rsidR="006D618F" w:rsidRPr="001829C3" w:rsidRDefault="006D618F" w:rsidP="001829C3">
      <w:pPr>
        <w:pStyle w:val="berschrift1"/>
      </w:pPr>
      <w:r w:rsidRPr="001829C3">
        <w:t xml:space="preserve">Was sich ändern muss </w:t>
      </w:r>
    </w:p>
    <w:p w:rsidR="006D618F" w:rsidRDefault="006D618F" w:rsidP="00952D4E">
      <w:r w:rsidRPr="006215F7">
        <w:t xml:space="preserve">igenos e.V. ist der Ansicht, dass bereits bei Absicht einer Fusion </w:t>
      </w:r>
      <w:r w:rsidRPr="001F3B91">
        <w:t>alle Mi</w:t>
      </w:r>
      <w:r w:rsidRPr="001F3B91">
        <w:t>t</w:t>
      </w:r>
      <w:r w:rsidRPr="001F3B91">
        <w:t>glieder</w:t>
      </w:r>
      <w:r w:rsidRPr="006215F7">
        <w:t xml:space="preserve"> der </w:t>
      </w:r>
      <w:r>
        <w:rPr>
          <w:noProof/>
        </w:rPr>
        <w:t>Erfurter Bank eG</w:t>
      </w:r>
      <w:r>
        <w:t xml:space="preserve"> </w:t>
      </w:r>
      <w:r w:rsidRPr="001F3B91">
        <w:t>vor jeglicher Abstimmung</w:t>
      </w:r>
      <w:r w:rsidRPr="006215F7">
        <w:t xml:space="preserve"> </w:t>
      </w:r>
      <w:r>
        <w:t xml:space="preserve">der </w:t>
      </w:r>
      <w:r>
        <w:rPr>
          <w:noProof/>
        </w:rPr>
        <w:t>Vertreterversammlung</w:t>
      </w:r>
      <w:r>
        <w:t xml:space="preserve"> </w:t>
      </w:r>
      <w:r w:rsidRPr="006215F7">
        <w:t>über sämtliche Möglichkeiten, die ihre mitglie</w:t>
      </w:r>
      <w:r w:rsidRPr="006215F7">
        <w:t>d</w:t>
      </w:r>
      <w:r w:rsidRPr="006215F7">
        <w:t>schaftlichen Vermögensinteressen berühren</w:t>
      </w:r>
      <w:r>
        <w:t>,</w:t>
      </w:r>
      <w:r w:rsidRPr="006215F7">
        <w:t xml:space="preserve"> vollumfassend u</w:t>
      </w:r>
      <w:r w:rsidRPr="006215F7">
        <w:t>n</w:t>
      </w:r>
      <w:r w:rsidRPr="006215F7">
        <w:t xml:space="preserve">terrichtet hätten werden müssen. Schließlich </w:t>
      </w:r>
      <w:r>
        <w:t>waren</w:t>
      </w:r>
      <w:r w:rsidRPr="006215F7">
        <w:t xml:space="preserve"> die </w:t>
      </w:r>
      <w:r>
        <w:rPr>
          <w:noProof/>
        </w:rPr>
        <w:t>13.141</w:t>
      </w:r>
      <w:r>
        <w:t xml:space="preserve"> </w:t>
      </w:r>
      <w:r w:rsidRPr="006215F7">
        <w:t>Mitglieder die alle</w:t>
      </w:r>
      <w:r w:rsidRPr="006215F7">
        <w:t>i</w:t>
      </w:r>
      <w:r w:rsidRPr="006215F7">
        <w:t>nigen Eigentümer</w:t>
      </w:r>
      <w:r>
        <w:t xml:space="preserve"> der Genossenschaft „</w:t>
      </w:r>
      <w:r>
        <w:rPr>
          <w:noProof/>
        </w:rPr>
        <w:t>Erfurter Bank eG</w:t>
      </w:r>
      <w:r>
        <w:t>“</w:t>
      </w:r>
      <w:r w:rsidRPr="006215F7">
        <w:t>.</w:t>
      </w:r>
    </w:p>
    <w:p w:rsidR="006D618F" w:rsidRDefault="006D618F" w:rsidP="006215F7">
      <w:r>
        <w:t>Selbst der Gesetzgeber geht davon aus, dass die Anteilsinhaber einer Genossenschaft a</w:t>
      </w:r>
      <w:r w:rsidRPr="003A1798">
        <w:t>n einer au</w:t>
      </w:r>
      <w:r>
        <w:t xml:space="preserve">sführlichen Vorabinformation </w:t>
      </w:r>
      <w:r w:rsidRPr="003A1798">
        <w:t>ein berechtigtes Interesse</w:t>
      </w:r>
      <w:r>
        <w:t xml:space="preserve"> haben und deswegen auch umfassend unterrichtet werden sol</w:t>
      </w:r>
      <w:r>
        <w:t>l</w:t>
      </w:r>
      <w:r>
        <w:t>ten</w:t>
      </w:r>
      <w:r w:rsidRPr="003A1798">
        <w:t xml:space="preserve">. </w:t>
      </w:r>
      <w:r>
        <w:t>Denn e</w:t>
      </w:r>
      <w:r w:rsidRPr="003A1798">
        <w:t xml:space="preserve">in solches Informationsrecht hat einen größeren Wert als </w:t>
      </w:r>
      <w:r>
        <w:t>l</w:t>
      </w:r>
      <w:r>
        <w:t>e</w:t>
      </w:r>
      <w:r>
        <w:t>diglich allgemeine</w:t>
      </w:r>
      <w:r w:rsidRPr="003A1798">
        <w:t xml:space="preserve"> Unterrichtungs- und Einsichtsrechte.</w:t>
      </w:r>
    </w:p>
    <w:p w:rsidR="006D618F" w:rsidRPr="00ED7EA8" w:rsidRDefault="006D618F" w:rsidP="00ED7EA8">
      <w:pPr>
        <w:rPr>
          <w:rFonts w:eastAsia="Calibri"/>
        </w:rPr>
      </w:pPr>
      <w:r>
        <w:rPr>
          <w:rFonts w:eastAsia="Calibri"/>
        </w:rPr>
        <w:t>D</w:t>
      </w:r>
      <w:r w:rsidRPr="00ED7EA8">
        <w:rPr>
          <w:rFonts w:eastAsia="Calibri"/>
        </w:rPr>
        <w:t xml:space="preserve">ie Rechtsprechung </w:t>
      </w:r>
      <w:r>
        <w:rPr>
          <w:rFonts w:eastAsia="Calibri"/>
        </w:rPr>
        <w:t xml:space="preserve">konkretisiert noch mehr. </w:t>
      </w:r>
      <w:r w:rsidRPr="00ED7EA8">
        <w:rPr>
          <w:rFonts w:eastAsia="Calibri"/>
        </w:rPr>
        <w:t>Zur Informationspflicht in einer Gesellschaft bürgerlichen Rechts hat der Bundesgerichtshof folge</w:t>
      </w:r>
      <w:r w:rsidRPr="00ED7EA8">
        <w:rPr>
          <w:rFonts w:eastAsia="Calibri"/>
        </w:rPr>
        <w:t>n</w:t>
      </w:r>
      <w:r w:rsidRPr="00ED7EA8">
        <w:rPr>
          <w:rFonts w:eastAsia="Calibri"/>
        </w:rPr>
        <w:t>den Leitsatz verkündet:</w:t>
      </w:r>
    </w:p>
    <w:p w:rsidR="006D618F" w:rsidRPr="00ED7EA8" w:rsidRDefault="006D618F" w:rsidP="00ED7EA8">
      <w:pPr>
        <w:pStyle w:val="KeinLeerraum"/>
        <w:rPr>
          <w:rFonts w:eastAsia="Calibri"/>
        </w:rPr>
      </w:pPr>
      <w:r w:rsidRPr="00ED7EA8">
        <w:rPr>
          <w:rFonts w:eastAsia="Calibri"/>
        </w:rPr>
        <w:t xml:space="preserve">„Die gesellschaftsrechtliche Treuepflicht verlangt von dem Gesellschafter einer Gesellschaft bürgerlichen Rechts, </w:t>
      </w:r>
      <w:proofErr w:type="spellStart"/>
      <w:r w:rsidRPr="00ED7EA8">
        <w:rPr>
          <w:rFonts w:eastAsia="Calibri"/>
        </w:rPr>
        <w:t>daß</w:t>
      </w:r>
      <w:proofErr w:type="spellEnd"/>
      <w:r>
        <w:rPr>
          <w:rFonts w:eastAsia="Calibri"/>
        </w:rPr>
        <w:t xml:space="preserve"> [sic!]</w:t>
      </w:r>
      <w:r w:rsidRPr="00ED7EA8">
        <w:rPr>
          <w:rFonts w:eastAsia="Calibri"/>
        </w:rPr>
        <w:t xml:space="preserve"> er seine Mitgesellschafter im Rahmen der Auseinandersetzung über Umstände, die deren mitglie</w:t>
      </w:r>
      <w:r w:rsidRPr="00ED7EA8">
        <w:rPr>
          <w:rFonts w:eastAsia="Calibri"/>
        </w:rPr>
        <w:t>d</w:t>
      </w:r>
      <w:r w:rsidRPr="00ED7EA8">
        <w:rPr>
          <w:rFonts w:eastAsia="Calibri"/>
        </w:rPr>
        <w:t>schaftliche Vermögensinteressen berühren, zutreffend und vollständig info</w:t>
      </w:r>
      <w:r w:rsidRPr="00ED7EA8">
        <w:rPr>
          <w:rFonts w:eastAsia="Calibri"/>
        </w:rPr>
        <w:t>r</w:t>
      </w:r>
      <w:r w:rsidRPr="00ED7EA8">
        <w:rPr>
          <w:rFonts w:eastAsia="Calibri"/>
        </w:rPr>
        <w:t>miert."</w:t>
      </w:r>
      <w:r w:rsidRPr="00ED7EA8">
        <w:rPr>
          <w:rFonts w:eastAsia="Calibri"/>
          <w:vertAlign w:val="superscript"/>
        </w:rPr>
        <w:footnoteReference w:id="1"/>
      </w:r>
    </w:p>
    <w:p w:rsidR="006D618F" w:rsidRPr="006215F7" w:rsidRDefault="006D618F" w:rsidP="006215F7">
      <w:r w:rsidRPr="006215F7">
        <w:t xml:space="preserve">Ein ordentlicher und gewissenhafter Vorstand einer Genossenschaftsbank würde </w:t>
      </w:r>
      <w:r>
        <w:t xml:space="preserve">deshalb </w:t>
      </w:r>
      <w:r w:rsidRPr="006215F7">
        <w:t>seine Mitglieder gleichzeitig auch über neben einer Fusion no</w:t>
      </w:r>
      <w:r>
        <w:t>ch zusätzlich weiter bestehende</w:t>
      </w:r>
      <w:r w:rsidRPr="006215F7">
        <w:t xml:space="preserve"> Möglichkeiten informieren. Schließlich </w:t>
      </w:r>
      <w:r>
        <w:t>besitzen</w:t>
      </w:r>
      <w:r w:rsidRPr="006215F7">
        <w:t xml:space="preserve"> die Mitglieder </w:t>
      </w:r>
      <w:r>
        <w:t>als</w:t>
      </w:r>
      <w:r w:rsidRPr="006215F7">
        <w:t xml:space="preserve"> Eigentümer der Genossenschaft die alleinige Bestimmungshoheit </w:t>
      </w:r>
      <w:r>
        <w:t xml:space="preserve">darüber, </w:t>
      </w:r>
      <w:r w:rsidRPr="006215F7">
        <w:t xml:space="preserve">was mit ihrem Eigentum geschieht. </w:t>
      </w:r>
      <w:r>
        <w:t>Und</w:t>
      </w:r>
      <w:r w:rsidRPr="006215F7">
        <w:t xml:space="preserve"> nur bei vollständiger Information kann hinterher Vorstand und Aufsichtsrat nicht vorgeworfen werden Eigeninteressen verfolgt und evtl. sogar im Sinne des § 5a des Gesetzes gegen den unlauteren Wettbewerb (UWG) unlauter gehandelt zu haben. </w:t>
      </w:r>
    </w:p>
    <w:p w:rsidR="006D618F" w:rsidRPr="006215F7" w:rsidRDefault="006D618F" w:rsidP="006215F7">
      <w:r>
        <w:t>Denn</w:t>
      </w:r>
      <w:r w:rsidRPr="006215F7">
        <w:t xml:space="preserve"> hier unterscheidet sich die Theorie </w:t>
      </w:r>
      <w:r>
        <w:t>massiv von der Praxis. D</w:t>
      </w:r>
      <w:r w:rsidRPr="006215F7">
        <w:t>ie Mi</w:t>
      </w:r>
      <w:r w:rsidRPr="006215F7">
        <w:t>t</w:t>
      </w:r>
      <w:r w:rsidRPr="006215F7">
        <w:t xml:space="preserve">glieder von Genossenschaftsbanken erhalten bei Fusionsversammlungen </w:t>
      </w:r>
      <w:r w:rsidRPr="006215F7">
        <w:lastRenderedPageBreak/>
        <w:t>nur Informationen über die Zusammenlegung der Bankgeschäfte sowie darüber, dass sie nach der Fusion Mitglieder der übernehmenden Geno</w:t>
      </w:r>
      <w:r w:rsidRPr="006215F7">
        <w:t>s</w:t>
      </w:r>
      <w:r w:rsidRPr="006215F7">
        <w:t xml:space="preserve">senschaftsbank werden. Bei der </w:t>
      </w:r>
      <w:r>
        <w:rPr>
          <w:noProof/>
        </w:rPr>
        <w:t>Erfurter Bank eG</w:t>
      </w:r>
      <w:r w:rsidRPr="006215F7">
        <w:t xml:space="preserve"> war es offenbar nicht anders.</w:t>
      </w:r>
    </w:p>
    <w:p w:rsidR="006D618F" w:rsidRPr="006215F7" w:rsidRDefault="006D618F" w:rsidP="006215F7">
      <w:r w:rsidRPr="006215F7">
        <w:t>Andere Möglichkeiten</w:t>
      </w:r>
      <w:r>
        <w:t>, die</w:t>
      </w:r>
      <w:r w:rsidRPr="006215F7">
        <w:t xml:space="preserve"> an Stelle einer Fusion </w:t>
      </w:r>
      <w:r>
        <w:t xml:space="preserve">treten könnten, </w:t>
      </w:r>
      <w:r w:rsidRPr="006215F7">
        <w:t xml:space="preserve">wurden </w:t>
      </w:r>
      <w:r>
        <w:t>offenbar ebenso bewusst verschwiegen, wie eine Meinungsfindung und letztendlich Beschlussfassung darüber, was die Mitglieder für sich als E</w:t>
      </w:r>
      <w:r>
        <w:t>i</w:t>
      </w:r>
      <w:r>
        <w:t>gentümer und Anteilsinhaber als das Beste ansehen. V</w:t>
      </w:r>
      <w:r w:rsidRPr="006215F7">
        <w:t>erschwiegen</w:t>
      </w:r>
      <w:r>
        <w:t xml:space="preserve"> unter Duldung des gesetzlichen Prüfungsverbandes</w:t>
      </w:r>
      <w:r w:rsidRPr="006215F7">
        <w:t>, um die Mitglieder nicht auf ihre finanzielle</w:t>
      </w:r>
      <w:r>
        <w:t>n</w:t>
      </w:r>
      <w:r w:rsidRPr="006215F7">
        <w:t xml:space="preserve"> Rechte, die sich aus ihrer Mitgliedschaft ergeben, au</w:t>
      </w:r>
      <w:r w:rsidRPr="006215F7">
        <w:t>f</w:t>
      </w:r>
      <w:r w:rsidRPr="006215F7">
        <w:t xml:space="preserve">merksam zu machen. </w:t>
      </w:r>
    </w:p>
    <w:p w:rsidR="006D618F" w:rsidRDefault="006D618F" w:rsidP="00F04346">
      <w:pPr>
        <w:ind w:left="720"/>
        <w:contextualSpacing/>
      </w:pPr>
    </w:p>
    <w:p w:rsidR="006D618F" w:rsidRDefault="006D618F" w:rsidP="001F3B91">
      <w:pPr>
        <w:contextualSpacing/>
      </w:pPr>
      <w:r>
        <w:t xml:space="preserve">Möglich gewesen wäre: </w:t>
      </w:r>
    </w:p>
    <w:p w:rsidR="006D618F" w:rsidRDefault="006D618F" w:rsidP="002D6EA2">
      <w:pPr>
        <w:pStyle w:val="Listenabsatz"/>
        <w:numPr>
          <w:ilvl w:val="0"/>
          <w:numId w:val="10"/>
        </w:numPr>
      </w:pPr>
      <w:r>
        <w:t xml:space="preserve">Das </w:t>
      </w:r>
      <w:r w:rsidRPr="006215F7">
        <w:t xml:space="preserve">Vermögen </w:t>
      </w:r>
      <w:r>
        <w:t xml:space="preserve">von ca. </w:t>
      </w:r>
      <w:r>
        <w:rPr>
          <w:noProof/>
        </w:rPr>
        <w:t>Fünfundvierzigmillionen</w:t>
      </w:r>
      <w:r>
        <w:t xml:space="preserve"> Euro </w:t>
      </w:r>
      <w:r w:rsidRPr="006215F7">
        <w:t xml:space="preserve">der </w:t>
      </w:r>
      <w:r>
        <w:rPr>
          <w:noProof/>
        </w:rPr>
        <w:t>Erfurter Bank eG</w:t>
      </w:r>
      <w:r w:rsidRPr="006215F7">
        <w:t xml:space="preserve"> durch Beschluss (z.B. auf Antrag des Vorstands oder Au</w:t>
      </w:r>
      <w:r w:rsidRPr="006215F7">
        <w:t>f</w:t>
      </w:r>
      <w:r w:rsidRPr="006215F7">
        <w:t>sichtsrats oder durch eine Mitgliederinitiati</w:t>
      </w:r>
      <w:r>
        <w:t xml:space="preserve">ve) </w:t>
      </w:r>
      <w:r w:rsidRPr="006215F7">
        <w:t>vor der F</w:t>
      </w:r>
      <w:r w:rsidRPr="006215F7">
        <w:t>u</w:t>
      </w:r>
      <w:r w:rsidRPr="006215F7">
        <w:t>sion ganz oder auch nur teilweise unter sich aufzuteilen</w:t>
      </w:r>
      <w:r>
        <w:t>. E</w:t>
      </w:r>
      <w:r w:rsidRPr="006215F7">
        <w:t xml:space="preserve">s </w:t>
      </w:r>
      <w:r>
        <w:t xml:space="preserve">hätte in der Macht der </w:t>
      </w:r>
      <w:r>
        <w:rPr>
          <w:noProof/>
        </w:rPr>
        <w:t>Vertreterversammlung</w:t>
      </w:r>
      <w:r>
        <w:t xml:space="preserve"> gelegen, </w:t>
      </w:r>
      <w:r w:rsidRPr="006215F7">
        <w:t>die angesammelten Rücklagen ihrer Genossenschaftsbank ganz oder</w:t>
      </w:r>
      <w:r>
        <w:t xml:space="preserve"> teilweise aufzul</w:t>
      </w:r>
      <w:r>
        <w:t>ö</w:t>
      </w:r>
      <w:r>
        <w:t>sen und in Ge</w:t>
      </w:r>
      <w:r w:rsidRPr="006215F7">
        <w:t>schäftsguthaben der Mitglieder umzuwandeln.</w:t>
      </w:r>
      <w:r>
        <w:t xml:space="preserve"> Die </w:t>
      </w:r>
      <w:r>
        <w:rPr>
          <w:noProof/>
        </w:rPr>
        <w:t>Vertreterversammlung</w:t>
      </w:r>
      <w:r>
        <w:t xml:space="preserve"> der </w:t>
      </w:r>
      <w:r>
        <w:rPr>
          <w:noProof/>
        </w:rPr>
        <w:t>Erfurter Bank eG</w:t>
      </w:r>
      <w:r>
        <w:t xml:space="preserve"> war das höchste O</w:t>
      </w:r>
      <w:r>
        <w:t>r</w:t>
      </w:r>
      <w:r>
        <w:t>gan der Genossenschaft und hatte stets die absolute Entsche</w:t>
      </w:r>
      <w:r>
        <w:t>i</w:t>
      </w:r>
      <w:r>
        <w:t>dungshoheit.</w:t>
      </w:r>
    </w:p>
    <w:p w:rsidR="006D618F" w:rsidRDefault="006D618F" w:rsidP="002D6EA2">
      <w:pPr>
        <w:pStyle w:val="Listenabsatz"/>
      </w:pPr>
    </w:p>
    <w:p w:rsidR="006D618F" w:rsidRPr="006215F7" w:rsidRDefault="006D618F" w:rsidP="002D6EA2">
      <w:pPr>
        <w:pStyle w:val="Listenabsatz"/>
        <w:numPr>
          <w:ilvl w:val="0"/>
          <w:numId w:val="10"/>
        </w:numPr>
      </w:pPr>
      <w:r>
        <w:t xml:space="preserve">Nur das </w:t>
      </w:r>
      <w:r w:rsidRPr="006215F7">
        <w:t xml:space="preserve">Bankgeschäft </w:t>
      </w:r>
      <w:r>
        <w:t xml:space="preserve">zu verkaufen und die Genossenschaft für die Mitgliederförderung zu erhalten. Diese Option ist zwar möglich, stößt aber auf Widerstand beim Verband, </w:t>
      </w:r>
      <w:r w:rsidRPr="006215F7">
        <w:t>da ein Verkauf des Bankgeschäftes nicht in das struktur</w:t>
      </w:r>
      <w:r>
        <w:t>- und finanzpolitische</w:t>
      </w:r>
      <w:r w:rsidRPr="006215F7">
        <w:t xml:space="preserve"> Kon</w:t>
      </w:r>
      <w:r>
        <w:t>zept d</w:t>
      </w:r>
      <w:r w:rsidRPr="006215F7">
        <w:t xml:space="preserve">es </w:t>
      </w:r>
      <w:r>
        <w:rPr>
          <w:noProof/>
        </w:rPr>
        <w:t>Genossenschaftsverband - Verband der Regionen e.V.</w:t>
      </w:r>
      <w:r>
        <w:t xml:space="preserve"> </w:t>
      </w:r>
      <w:r w:rsidRPr="006215F7">
        <w:t>und des BVR pass</w:t>
      </w:r>
      <w:r>
        <w:t>en würde</w:t>
      </w:r>
      <w:r w:rsidRPr="006215F7">
        <w:t>.</w:t>
      </w:r>
      <w:r>
        <w:t xml:space="preserve"> </w:t>
      </w:r>
      <w:r w:rsidRPr="006215F7">
        <w:t xml:space="preserve"> </w:t>
      </w:r>
    </w:p>
    <w:p w:rsidR="006D618F" w:rsidRDefault="006D618F" w:rsidP="002D6EA2">
      <w:pPr>
        <w:ind w:left="720"/>
        <w:contextualSpacing/>
      </w:pPr>
    </w:p>
    <w:p w:rsidR="006D618F" w:rsidRDefault="006D618F" w:rsidP="006215F7">
      <w:pPr>
        <w:numPr>
          <w:ilvl w:val="0"/>
          <w:numId w:val="10"/>
        </w:numPr>
        <w:contextualSpacing/>
      </w:pPr>
      <w:r>
        <w:t>D</w:t>
      </w:r>
      <w:r w:rsidRPr="006215F7">
        <w:t xml:space="preserve">ie </w:t>
      </w:r>
      <w:r>
        <w:rPr>
          <w:noProof/>
        </w:rPr>
        <w:t>Erfurter Bank eG</w:t>
      </w:r>
      <w:r w:rsidRPr="00535701">
        <w:t xml:space="preserve"> </w:t>
      </w:r>
      <w:r w:rsidRPr="006215F7">
        <w:t>als absolut selbständige Bank vor Ort und nicht als Zweig</w:t>
      </w:r>
      <w:r>
        <w:t>stelle</w:t>
      </w:r>
      <w:r w:rsidRPr="006215F7">
        <w:t xml:space="preserve"> der </w:t>
      </w:r>
      <w:r>
        <w:rPr>
          <w:noProof/>
        </w:rPr>
        <w:t>vr bank Südthüringen eG</w:t>
      </w:r>
      <w:r w:rsidRPr="006215F7">
        <w:t xml:space="preserve"> </w:t>
      </w:r>
      <w:r>
        <w:t xml:space="preserve">zu </w:t>
      </w:r>
      <w:r w:rsidRPr="006215F7">
        <w:t>e</w:t>
      </w:r>
      <w:r>
        <w:t xml:space="preserve">rhalten. </w:t>
      </w:r>
    </w:p>
    <w:p w:rsidR="006D618F" w:rsidRDefault="006D618F" w:rsidP="00914AC1">
      <w:pPr>
        <w:contextualSpacing/>
      </w:pPr>
    </w:p>
    <w:p w:rsidR="006D618F" w:rsidRDefault="006D618F" w:rsidP="00914AC1">
      <w:pPr>
        <w:pStyle w:val="Listenabsatz"/>
        <w:numPr>
          <w:ilvl w:val="0"/>
          <w:numId w:val="10"/>
        </w:numPr>
      </w:pPr>
      <w:r>
        <w:t xml:space="preserve">Die </w:t>
      </w:r>
      <w:r>
        <w:rPr>
          <w:noProof/>
        </w:rPr>
        <w:t>Erfurter Bank eG</w:t>
      </w:r>
      <w:r>
        <w:t xml:space="preserve"> in eine genossenschaftliche Aktiengesel</w:t>
      </w:r>
      <w:r>
        <w:t>l</w:t>
      </w:r>
      <w:r>
        <w:t>schaft umzuwandeln. Diese Option wird jedoch massiv b</w:t>
      </w:r>
      <w:r>
        <w:t>e</w:t>
      </w:r>
      <w:r>
        <w:t xml:space="preserve">kämpft, weil der </w:t>
      </w:r>
      <w:r w:rsidRPr="006215F7">
        <w:t>zuständige Genossenschaftsverband erhebliche Einna</w:t>
      </w:r>
      <w:r w:rsidRPr="006215F7">
        <w:t>h</w:t>
      </w:r>
      <w:r w:rsidRPr="006215F7">
        <w:lastRenderedPageBreak/>
        <w:t xml:space="preserve">meverluste </w:t>
      </w:r>
      <w:r>
        <w:t xml:space="preserve">haben würde. Eine </w:t>
      </w:r>
      <w:r w:rsidRPr="006215F7">
        <w:t>Aktiengesellschaft braucht keine Pflicht</w:t>
      </w:r>
      <w:r>
        <w:t>mitgliedschafts</w:t>
      </w:r>
      <w:r w:rsidRPr="006215F7">
        <w:t>beiträge an einen Genossenschaftsve</w:t>
      </w:r>
      <w:r w:rsidRPr="006215F7">
        <w:t>r</w:t>
      </w:r>
      <w:r w:rsidRPr="006215F7">
        <w:t>band zu zahlen</w:t>
      </w:r>
      <w:r>
        <w:t xml:space="preserve"> und</w:t>
      </w:r>
      <w:r w:rsidRPr="006215F7">
        <w:t xml:space="preserve"> kann sich </w:t>
      </w:r>
      <w:r>
        <w:t xml:space="preserve">ferner </w:t>
      </w:r>
      <w:r w:rsidRPr="006215F7">
        <w:t>den Wirtschaftspr</w:t>
      </w:r>
      <w:r w:rsidRPr="006215F7">
        <w:t>ü</w:t>
      </w:r>
      <w:r w:rsidRPr="006215F7">
        <w:t xml:space="preserve">fer selbst wählen. </w:t>
      </w:r>
      <w:r>
        <w:t>Die Mitglieder wären in der Folge Aktionäre und an Kurssteigeru</w:t>
      </w:r>
      <w:r>
        <w:t>n</w:t>
      </w:r>
      <w:r>
        <w:t>gen beteiligt. D</w:t>
      </w:r>
      <w:r w:rsidRPr="006215F7">
        <w:t xml:space="preserve">ie Mitglieder </w:t>
      </w:r>
      <w:r>
        <w:t xml:space="preserve">wären </w:t>
      </w:r>
      <w:r w:rsidRPr="006215F7">
        <w:t>dabei die größ</w:t>
      </w:r>
      <w:r>
        <w:t>ten Gewinner gewesen</w:t>
      </w:r>
      <w:r w:rsidRPr="006215F7">
        <w:t>.</w:t>
      </w:r>
    </w:p>
    <w:p w:rsidR="006D618F" w:rsidRDefault="006D618F" w:rsidP="004C163D">
      <w:pPr>
        <w:ind w:left="720"/>
        <w:contextualSpacing/>
      </w:pPr>
    </w:p>
    <w:p w:rsidR="00313C54" w:rsidRPr="00313C54" w:rsidRDefault="006D618F" w:rsidP="006215F7">
      <w:pPr>
        <w:pStyle w:val="Listenabsatz"/>
        <w:numPr>
          <w:ilvl w:val="0"/>
          <w:numId w:val="10"/>
        </w:numPr>
        <w:rPr>
          <w:rFonts w:ascii="Times New Roman" w:hAnsi="Times New Roman" w:cs="Times New Roman"/>
          <w:i/>
          <w:sz w:val="24"/>
          <w:szCs w:val="24"/>
        </w:rPr>
      </w:pPr>
      <w:r>
        <w:t xml:space="preserve">Im vorformulierten Verschmelzungsvertrag, der vom </w:t>
      </w:r>
      <w:r>
        <w:rPr>
          <w:noProof/>
        </w:rPr>
        <w:t>Genossenschaftsverband - Verband der Regionen e.V.</w:t>
      </w:r>
      <w:r>
        <w:t xml:space="preserve"> zur Verf</w:t>
      </w:r>
      <w:r>
        <w:t>ü</w:t>
      </w:r>
      <w:r>
        <w:t>gung gestellt wurde, ein anderes Umtauschverhältnis als 1:1 fes</w:t>
      </w:r>
      <w:r>
        <w:t>t</w:t>
      </w:r>
      <w:r>
        <w:t>zul</w:t>
      </w:r>
      <w:r>
        <w:t>e</w:t>
      </w:r>
      <w:r>
        <w:t xml:space="preserve">gen. In hier besprochenen Fall wurde ein Geschäftsanteil von </w:t>
      </w:r>
      <w:r>
        <w:rPr>
          <w:noProof/>
        </w:rPr>
        <w:t>25</w:t>
      </w:r>
      <w:r>
        <w:t xml:space="preserve">,00 Euro in </w:t>
      </w:r>
      <w:r>
        <w:rPr>
          <w:noProof/>
        </w:rPr>
        <w:t>1</w:t>
      </w:r>
      <w:r>
        <w:t xml:space="preserve"> Geschäftsanteile der </w:t>
      </w:r>
      <w:r>
        <w:rPr>
          <w:noProof/>
        </w:rPr>
        <w:t>vr bank Südthüringen eG</w:t>
      </w:r>
      <w:r>
        <w:t xml:space="preserve"> zu </w:t>
      </w:r>
      <w:r w:rsidR="00313C54">
        <w:rPr>
          <w:noProof/>
        </w:rPr>
        <w:t>25</w:t>
      </w:r>
      <w:r>
        <w:t xml:space="preserve">,00 Euro mit einem Guthaben von </w:t>
      </w:r>
      <w:r>
        <w:rPr>
          <w:noProof/>
        </w:rPr>
        <w:t>25</w:t>
      </w:r>
      <w:r>
        <w:t>,00 Euro umgetauscht</w:t>
      </w:r>
      <w:proofErr w:type="gramStart"/>
      <w:r>
        <w:t>.</w:t>
      </w:r>
      <w:r w:rsidR="00313C54">
        <w:t xml:space="preserve"> </w:t>
      </w:r>
      <w:proofErr w:type="gramEnd"/>
      <w:r w:rsidR="00313C54">
        <w:t xml:space="preserve">Hierzu musste die </w:t>
      </w:r>
      <w:proofErr w:type="spellStart"/>
      <w:r w:rsidR="00313C54">
        <w:t>vr</w:t>
      </w:r>
      <w:proofErr w:type="spellEnd"/>
      <w:r w:rsidR="00313C54">
        <w:t xml:space="preserve"> </w:t>
      </w:r>
      <w:proofErr w:type="spellStart"/>
      <w:r w:rsidR="00313C54">
        <w:t>bank</w:t>
      </w:r>
      <w:proofErr w:type="spellEnd"/>
      <w:r w:rsidR="00313C54">
        <w:t xml:space="preserve"> Südthüringen die Höhe des einzelnen Geschäftsanteils in der Satzung von 100,00 € auf 25,00 € hera</w:t>
      </w:r>
      <w:r w:rsidR="00313C54">
        <w:t>b</w:t>
      </w:r>
      <w:r w:rsidR="00313C54">
        <w:t xml:space="preserve">setzen, wodurch für deren Mitglieder ein Geschäftsanteil von 100,00 € in 4 Anteile zu je 25,00 € umgewandelt wurde. </w:t>
      </w:r>
    </w:p>
    <w:p w:rsidR="006D618F" w:rsidRPr="00533621" w:rsidRDefault="006D618F" w:rsidP="00313C54">
      <w:pPr>
        <w:pStyle w:val="Listenabsatz"/>
        <w:rPr>
          <w:rFonts w:ascii="Times New Roman" w:hAnsi="Times New Roman" w:cs="Times New Roman"/>
          <w:i/>
          <w:sz w:val="24"/>
          <w:szCs w:val="24"/>
        </w:rPr>
      </w:pPr>
      <w:r>
        <w:t xml:space="preserve">Der Umtausch </w:t>
      </w:r>
      <w:r w:rsidR="00313C54">
        <w:t xml:space="preserve">der Geschäftsanteile der Mitglieder der Erfurter Bank eG </w:t>
      </w:r>
      <w:r>
        <w:t xml:space="preserve">erfolgte ohne die Berücksichtigung des „inneren Wertes“. </w:t>
      </w:r>
      <w:r w:rsidR="00313C54">
        <w:t>Allerdings</w:t>
      </w:r>
      <w:r>
        <w:t xml:space="preserve"> hat der </w:t>
      </w:r>
      <w:r w:rsidRPr="006215F7">
        <w:t>Gesetzgeber in § 80 Abs. 2 Satz 1 des Umwan</w:t>
      </w:r>
      <w:r w:rsidRPr="006215F7">
        <w:t>d</w:t>
      </w:r>
      <w:r w:rsidRPr="006215F7">
        <w:t>lungsgeset</w:t>
      </w:r>
      <w:r>
        <w:t>zes einen zweiten Halbsatz eingefügt</w:t>
      </w:r>
      <w:r w:rsidRPr="006215F7">
        <w:t>, aus dem hervo</w:t>
      </w:r>
      <w:r w:rsidRPr="006215F7">
        <w:t>r</w:t>
      </w:r>
      <w:r w:rsidRPr="006215F7">
        <w:t xml:space="preserve">geht, dass </w:t>
      </w:r>
      <w:r>
        <w:t>auch ein anderes Umtauschverhältnis festgelegt we</w:t>
      </w:r>
      <w:r>
        <w:t>r</w:t>
      </w:r>
      <w:r>
        <w:t xml:space="preserve">den kann. Diese Bestimmung </w:t>
      </w:r>
      <w:r w:rsidRPr="006215F7">
        <w:t>ermöglicht</w:t>
      </w:r>
      <w:r>
        <w:t xml:space="preserve"> es</w:t>
      </w:r>
      <w:r w:rsidRPr="002A6B2A">
        <w:rPr>
          <w:rFonts w:ascii="Times New Roman" w:hAnsi="Times New Roman" w:cs="Times New Roman"/>
          <w:i/>
          <w:sz w:val="24"/>
          <w:szCs w:val="24"/>
        </w:rPr>
        <w:t>, „den unterschiedlichen „inneren" Wert der Geschäftsguthaben bei den verschiedenen an der Verschmelzung beteiligten Genossenschaften auszugleichen, der sich insbesondere aus unterschiedlichen offenen Rücklagen und stillen R</w:t>
      </w:r>
      <w:r w:rsidRPr="002A6B2A">
        <w:rPr>
          <w:rFonts w:ascii="Times New Roman" w:hAnsi="Times New Roman" w:cs="Times New Roman"/>
          <w:i/>
          <w:sz w:val="24"/>
          <w:szCs w:val="24"/>
        </w:rPr>
        <w:t>e</w:t>
      </w:r>
      <w:r w:rsidRPr="002A6B2A">
        <w:rPr>
          <w:rFonts w:ascii="Times New Roman" w:hAnsi="Times New Roman" w:cs="Times New Roman"/>
          <w:i/>
          <w:sz w:val="24"/>
          <w:szCs w:val="24"/>
        </w:rPr>
        <w:t>serven sowie nicht bilanzierungsfähigen Werten (</w:t>
      </w:r>
      <w:proofErr w:type="spellStart"/>
      <w:r w:rsidRPr="002A6B2A">
        <w:rPr>
          <w:rFonts w:ascii="Times New Roman" w:hAnsi="Times New Roman" w:cs="Times New Roman"/>
          <w:i/>
          <w:sz w:val="24"/>
          <w:szCs w:val="24"/>
        </w:rPr>
        <w:t>good</w:t>
      </w:r>
      <w:proofErr w:type="spellEnd"/>
      <w:r w:rsidRPr="002A6B2A">
        <w:rPr>
          <w:rFonts w:ascii="Times New Roman" w:hAnsi="Times New Roman" w:cs="Times New Roman"/>
          <w:i/>
          <w:sz w:val="24"/>
          <w:szCs w:val="24"/>
        </w:rPr>
        <w:t xml:space="preserve"> will) der bete</w:t>
      </w:r>
      <w:r w:rsidRPr="002A6B2A">
        <w:rPr>
          <w:rFonts w:ascii="Times New Roman" w:hAnsi="Times New Roman" w:cs="Times New Roman"/>
          <w:i/>
          <w:sz w:val="24"/>
          <w:szCs w:val="24"/>
        </w:rPr>
        <w:t>i</w:t>
      </w:r>
      <w:r w:rsidRPr="002A6B2A">
        <w:rPr>
          <w:rFonts w:ascii="Times New Roman" w:hAnsi="Times New Roman" w:cs="Times New Roman"/>
          <w:i/>
          <w:sz w:val="24"/>
          <w:szCs w:val="24"/>
        </w:rPr>
        <w:t>ligten Rechtsträger ergeben kann. Die Regelung ist erforderlich, um ein angemessenes Umtauschverhältnis festlegen zu können.“</w:t>
      </w:r>
      <w:r w:rsidRPr="00265DC3">
        <w:rPr>
          <w:rStyle w:val="Funotenzeichen"/>
          <w:rFonts w:ascii="Times New Roman" w:hAnsi="Times New Roman" w:cs="Times New Roman"/>
          <w:i/>
          <w:color w:val="auto"/>
          <w:sz w:val="24"/>
          <w:szCs w:val="24"/>
        </w:rPr>
        <w:footnoteReference w:id="2"/>
      </w:r>
      <w:r>
        <w:rPr>
          <w:rFonts w:ascii="Times New Roman" w:hAnsi="Times New Roman" w:cs="Times New Roman"/>
          <w:i/>
          <w:sz w:val="24"/>
          <w:szCs w:val="24"/>
        </w:rPr>
        <w:t xml:space="preserve"> </w:t>
      </w:r>
      <w:r>
        <w:rPr>
          <w:rFonts w:ascii="Times New Roman" w:hAnsi="Times New Roman" w:cs="Times New Roman"/>
          <w:sz w:val="24"/>
          <w:szCs w:val="24"/>
        </w:rPr>
        <w:t xml:space="preserve">Es </w:t>
      </w:r>
      <w:r w:rsidRPr="006215F7">
        <w:t>hä</w:t>
      </w:r>
      <w:r w:rsidRPr="006215F7">
        <w:t>t</w:t>
      </w:r>
      <w:r w:rsidRPr="006215F7">
        <w:t>te deshalb dem Handeln eines ordentlichen und gewissenhaften Vorstands einer Genossenschaftsbank entsprochen, wenn der Vo</w:t>
      </w:r>
      <w:r w:rsidRPr="006215F7">
        <w:t>r</w:t>
      </w:r>
      <w:r w:rsidRPr="006215F7">
        <w:t xml:space="preserve">stand der </w:t>
      </w:r>
      <w:r>
        <w:rPr>
          <w:noProof/>
        </w:rPr>
        <w:t>Erfurter Bank eG</w:t>
      </w:r>
      <w:r w:rsidRPr="006215F7">
        <w:t xml:space="preserve"> im Verschmelzungsvertrag ein anderes Umtauschverhältnis als 1:1 mit dem Vorstand der </w:t>
      </w:r>
      <w:r>
        <w:rPr>
          <w:noProof/>
        </w:rPr>
        <w:t>vr bank Südthüringen eG</w:t>
      </w:r>
      <w:r w:rsidRPr="006215F7">
        <w:t xml:space="preserve"> vereinbart </w:t>
      </w:r>
      <w:r>
        <w:t>hätte</w:t>
      </w:r>
      <w:r w:rsidRPr="006215F7">
        <w:t xml:space="preserve">. </w:t>
      </w:r>
    </w:p>
    <w:p w:rsidR="006D618F" w:rsidRPr="002A6B2A" w:rsidRDefault="006D618F" w:rsidP="00533621">
      <w:pPr>
        <w:pStyle w:val="Listenabsatz"/>
        <w:rPr>
          <w:rFonts w:ascii="Times New Roman" w:hAnsi="Times New Roman" w:cs="Times New Roman"/>
          <w:i/>
          <w:sz w:val="24"/>
          <w:szCs w:val="24"/>
        </w:rPr>
      </w:pPr>
    </w:p>
    <w:p w:rsidR="006D618F" w:rsidRDefault="006D618F" w:rsidP="006215F7">
      <w:r w:rsidRPr="006215F7">
        <w:lastRenderedPageBreak/>
        <w:t xml:space="preserve">Ob </w:t>
      </w:r>
      <w:r>
        <w:t xml:space="preserve">das bei der Fusion vereinbarte Umtauschverhältnis von 1:1 </w:t>
      </w:r>
      <w:r w:rsidRPr="006215F7">
        <w:t>mit g</w:t>
      </w:r>
      <w:r w:rsidRPr="006215F7">
        <w:t>e</w:t>
      </w:r>
      <w:r w:rsidRPr="006215F7">
        <w:t>nossenschaftlichen Grundsätzen, aber auch mit den Eigentumsrechten des Grundgesetzes noch übereinstimmt, sei derzeit</w:t>
      </w:r>
      <w:r>
        <w:t xml:space="preserve"> ebenso noch dahing</w:t>
      </w:r>
      <w:r>
        <w:t>e</w:t>
      </w:r>
      <w:r>
        <w:t xml:space="preserve">stellt wie Fragen nach der Haftung der Genossenschaftsorgane. </w:t>
      </w:r>
    </w:p>
    <w:p w:rsidR="006D618F" w:rsidRPr="00533621" w:rsidRDefault="006D618F" w:rsidP="001829C3">
      <w:pPr>
        <w:pStyle w:val="berschrift1"/>
      </w:pPr>
      <w:r>
        <w:t>Der Beweis dass es auch anders geht</w:t>
      </w:r>
    </w:p>
    <w:p w:rsidR="00313C54" w:rsidRDefault="006D618F" w:rsidP="006215F7">
      <w:r>
        <w:t xml:space="preserve">Dass es auch anders verlaufen kann, zeigt das </w:t>
      </w:r>
      <w:r w:rsidRPr="006215F7">
        <w:t xml:space="preserve">Beispiel der </w:t>
      </w:r>
      <w:r w:rsidR="00313C54">
        <w:t>Heinsberger Volksbank</w:t>
      </w:r>
      <w:r w:rsidRPr="006215F7">
        <w:t xml:space="preserve"> AG. Auch dort wurde, ebenso wie bei Fusionen zwischen zwei G</w:t>
      </w:r>
      <w:r w:rsidRPr="006215F7">
        <w:t>e</w:t>
      </w:r>
      <w:r w:rsidRPr="006215F7">
        <w:t>nossenschaftsbanken</w:t>
      </w:r>
      <w:r>
        <w:t>,</w:t>
      </w:r>
      <w:r w:rsidRPr="006215F7">
        <w:t xml:space="preserve"> im Verschmelzungsvertrag vereinbart, dass die </w:t>
      </w:r>
      <w:r w:rsidR="00313C54">
        <w:t>Heinsberger Volksbank</w:t>
      </w:r>
      <w:r w:rsidR="00313C54" w:rsidRPr="006215F7">
        <w:t xml:space="preserve"> AG</w:t>
      </w:r>
      <w:r w:rsidRPr="006215F7">
        <w:t xml:space="preserve"> ihr Vermögen als Ganzes an die Raiffeisenbank Heinsberg eG als aufnehmende Genossenschaft übergibt. Allerdings wu</w:t>
      </w:r>
      <w:r w:rsidRPr="006215F7">
        <w:t>r</w:t>
      </w:r>
      <w:r w:rsidRPr="006215F7">
        <w:t>de mit der darauf folgenden Vereinbarung, wie die Aktionäre nach Z</w:t>
      </w:r>
      <w:r w:rsidRPr="006215F7">
        <w:t>u</w:t>
      </w:r>
      <w:r w:rsidRPr="006215F7">
        <w:t>stimmung zur Verschmelzung zu Mitgliedern der Genossenschaft werden, die Vorausse</w:t>
      </w:r>
      <w:r w:rsidRPr="006215F7">
        <w:t>t</w:t>
      </w:r>
      <w:r w:rsidRPr="006215F7">
        <w:t xml:space="preserve">zung dazu geschaffen, dass das gesamte Vermögen der </w:t>
      </w:r>
      <w:r w:rsidR="00313C54">
        <w:t>Heinsberger Volksbank</w:t>
      </w:r>
      <w:r w:rsidR="00313C54" w:rsidRPr="006215F7">
        <w:t xml:space="preserve"> AG</w:t>
      </w:r>
      <w:r w:rsidRPr="006215F7">
        <w:t xml:space="preserve"> an die Aktionäre ausbezahlt wurde. </w:t>
      </w:r>
    </w:p>
    <w:p w:rsidR="006D618F" w:rsidRPr="006215F7" w:rsidRDefault="006D618F" w:rsidP="006215F7">
      <w:r w:rsidRPr="006215F7">
        <w:t xml:space="preserve">Die 548 Aktionäre der </w:t>
      </w:r>
      <w:r w:rsidR="00313C54">
        <w:t>Heinsberger Volksbank</w:t>
      </w:r>
      <w:r w:rsidR="00313C54" w:rsidRPr="006215F7">
        <w:t xml:space="preserve"> AG</w:t>
      </w:r>
      <w:r w:rsidRPr="006215F7">
        <w:t xml:space="preserve"> hielten insgesamt 24.000 Aktien. </w:t>
      </w:r>
      <w:r w:rsidRPr="004C163D">
        <w:t xml:space="preserve">Für jede einzelne Aktie erhielten sie </w:t>
      </w:r>
      <w:r>
        <w:t xml:space="preserve">folglich </w:t>
      </w:r>
      <w:r w:rsidRPr="004C163D">
        <w:t>902,44 € au</w:t>
      </w:r>
      <w:r w:rsidRPr="004C163D">
        <w:t>s</w:t>
      </w:r>
      <w:r w:rsidRPr="004C163D">
        <w:t xml:space="preserve">gezahlt. </w:t>
      </w:r>
      <w:r>
        <w:t xml:space="preserve">Im Durchschnitt erhielt jeder Aktionär ca. 39.000,00 €. </w:t>
      </w:r>
      <w:r w:rsidRPr="006215F7">
        <w:t xml:space="preserve">Statt das gesamte Vermögen der </w:t>
      </w:r>
      <w:r w:rsidR="00313C54">
        <w:t>Heinsberger Volksbank</w:t>
      </w:r>
      <w:r w:rsidR="00313C54" w:rsidRPr="006215F7">
        <w:t xml:space="preserve"> AG</w:t>
      </w:r>
      <w:r w:rsidRPr="006215F7">
        <w:t xml:space="preserve"> zu erhalten, musste die Raiffe</w:t>
      </w:r>
      <w:r w:rsidRPr="006215F7">
        <w:t>i</w:t>
      </w:r>
      <w:r w:rsidRPr="006215F7">
        <w:t xml:space="preserve">senbank Heinsberg eG </w:t>
      </w:r>
      <w:r>
        <w:t xml:space="preserve">sogar </w:t>
      </w:r>
      <w:r w:rsidRPr="006215F7">
        <w:t>noch 1,</w:t>
      </w:r>
      <w:r>
        <w:t>4</w:t>
      </w:r>
      <w:r w:rsidRPr="006215F7">
        <w:t xml:space="preserve"> Millionen Euro zu</w:t>
      </w:r>
      <w:r>
        <w:t>sätzlich zahlen,</w:t>
      </w:r>
      <w:r w:rsidRPr="006215F7">
        <w:t xml:space="preserve"> um die Aktionäre der Volksbank abzufinden. Da auch noch eine Namen</w:t>
      </w:r>
      <w:r w:rsidRPr="006215F7">
        <w:t>s</w:t>
      </w:r>
      <w:r w:rsidRPr="006215F7">
        <w:t>änderung der Raiffeisenbank Heinsberg in Volksbank Heinsberg</w:t>
      </w:r>
      <w:r>
        <w:t xml:space="preserve"> e.G.</w:t>
      </w:r>
      <w:r w:rsidRPr="006215F7">
        <w:t xml:space="preserve"> e</w:t>
      </w:r>
      <w:r w:rsidRPr="006215F7">
        <w:t>r</w:t>
      </w:r>
      <w:r w:rsidRPr="006215F7">
        <w:t>folgte, firmiert sie heute wieder als Volksbank Heinsberg, diesmal allerdings als Genossenschaft. Der für die Raiffeisenbank Heinsberg eG zuständige Genossenschaftsverband bezeichnete die Fusion im Ve</w:t>
      </w:r>
      <w:r w:rsidRPr="006215F7">
        <w:t>r</w:t>
      </w:r>
      <w:r w:rsidRPr="006215F7">
        <w:t>schmelzungsgutachten als mit den Belangen der Mitglieder der Raiffe</w:t>
      </w:r>
      <w:r w:rsidRPr="006215F7">
        <w:t>i</w:t>
      </w:r>
      <w:r w:rsidRPr="006215F7">
        <w:t>s</w:t>
      </w:r>
      <w:r>
        <w:t xml:space="preserve">enbank Heinsberg eG vereinbar. </w:t>
      </w:r>
      <w:r w:rsidRPr="006215F7">
        <w:t>Eine ausführliche Analyse zu dieser F</w:t>
      </w:r>
      <w:r w:rsidRPr="006215F7">
        <w:t>u</w:t>
      </w:r>
      <w:r w:rsidRPr="006215F7">
        <w:t>sion finden Sie unter dem T</w:t>
      </w:r>
      <w:r w:rsidRPr="006215F7">
        <w:t>i</w:t>
      </w:r>
      <w:r w:rsidRPr="006215F7">
        <w:t xml:space="preserve">tel: </w:t>
      </w:r>
      <w:r w:rsidRPr="006215F7">
        <w:rPr>
          <w:i/>
        </w:rPr>
        <w:t>„Eine Analyse der Fusion der Volksbank Heinsberg AG mit der Raiffeisenbank Heinsberg eG“</w:t>
      </w:r>
      <w:r>
        <w:t xml:space="preserve"> auf d</w:t>
      </w:r>
      <w:r w:rsidRPr="006215F7">
        <w:t xml:space="preserve">er Webseite </w:t>
      </w:r>
      <w:hyperlink r:id="rId13" w:history="1">
        <w:proofErr w:type="spellStart"/>
        <w:r w:rsidRPr="006215F7">
          <w:rPr>
            <w:color w:val="0000FF" w:themeColor="hyperlink"/>
            <w:u w:val="single"/>
          </w:rPr>
          <w:t>www.foerderauftrag.de</w:t>
        </w:r>
        <w:proofErr w:type="spellEnd"/>
      </w:hyperlink>
      <w:r w:rsidRPr="006215F7">
        <w:t>.</w:t>
      </w:r>
    </w:p>
    <w:p w:rsidR="006D618F" w:rsidRDefault="006D618F" w:rsidP="003012AE">
      <w:r>
        <w:t xml:space="preserve">Die Fusion hätte aber </w:t>
      </w:r>
      <w:r w:rsidRPr="006215F7">
        <w:t xml:space="preserve">auch andersherum funktioniert. Die Raiffeisenbank Heinsberg eG war vermögensmäßig ähnlich aufgestellt wie die </w:t>
      </w:r>
      <w:r w:rsidR="00313C54">
        <w:t>Heinsbe</w:t>
      </w:r>
      <w:r w:rsidR="00313C54">
        <w:t>r</w:t>
      </w:r>
      <w:r w:rsidR="00313C54">
        <w:t>ger Volksbank</w:t>
      </w:r>
      <w:r w:rsidR="00313C54" w:rsidRPr="006215F7">
        <w:t xml:space="preserve"> AG</w:t>
      </w:r>
      <w:r w:rsidRPr="006215F7">
        <w:t xml:space="preserve">. Es hätte deshalb auch die Raiffeisenbank Heinsberg als übergebende Genossenschaft von der Aktiengesellschaft </w:t>
      </w:r>
      <w:r w:rsidR="00313C54">
        <w:t>Heinsberger Volksbank</w:t>
      </w:r>
      <w:r w:rsidR="00313C54" w:rsidRPr="006215F7">
        <w:t xml:space="preserve"> AG</w:t>
      </w:r>
      <w:r w:rsidRPr="006215F7">
        <w:t xml:space="preserve"> übernommen werden können. Die Mitglieder der Raiffe</w:t>
      </w:r>
      <w:r w:rsidRPr="006215F7">
        <w:t>i</w:t>
      </w:r>
      <w:r w:rsidRPr="006215F7">
        <w:t>senbank wären zu Aktionären der Volksbank geworden und hätten für jeden Geschäftsanteil von 300,00 € im Umtausch ca. 5-6 Aktien mit e</w:t>
      </w:r>
      <w:r w:rsidRPr="006215F7">
        <w:t>i</w:t>
      </w:r>
      <w:r w:rsidRPr="006215F7">
        <w:t xml:space="preserve">nem Wert von 900,00 € </w:t>
      </w:r>
      <w:r>
        <w:t>je</w:t>
      </w:r>
      <w:r w:rsidRPr="006215F7">
        <w:t xml:space="preserve"> Aktie erhalten. </w:t>
      </w:r>
    </w:p>
    <w:p w:rsidR="006D618F" w:rsidRDefault="006D618F" w:rsidP="00DE42A7">
      <w:r w:rsidRPr="00FE4E0F">
        <w:lastRenderedPageBreak/>
        <w:t xml:space="preserve">Eine </w:t>
      </w:r>
      <w:r>
        <w:t xml:space="preserve">direkte </w:t>
      </w:r>
      <w:r w:rsidRPr="00FE4E0F">
        <w:t>Umwandlung von einer Aktiengesellschaft in eine Genosse</w:t>
      </w:r>
      <w:r w:rsidRPr="00FE4E0F">
        <w:t>n</w:t>
      </w:r>
      <w:r w:rsidRPr="00FE4E0F">
        <w:t xml:space="preserve">schaft hat </w:t>
      </w:r>
      <w:r>
        <w:t xml:space="preserve">seit 2016 </w:t>
      </w:r>
      <w:r w:rsidRPr="00FE4E0F">
        <w:t>die Vereinigte Volksbank eG Sindelfingen hinter sich. Die Aktionäre er</w:t>
      </w:r>
      <w:r>
        <w:t xml:space="preserve">hielten ebenfalls </w:t>
      </w:r>
      <w:r w:rsidRPr="00FE4E0F">
        <w:t>den Unternehmenswert ihrer Bank gu</w:t>
      </w:r>
      <w:r w:rsidRPr="00FE4E0F">
        <w:t>t</w:t>
      </w:r>
      <w:r w:rsidRPr="00FE4E0F">
        <w:t>geschrieben. Aus 44 Millionen eingezahltem Kapital der Anteilseigner wurden, durch Auflösung der Rücklagen von 85 Millionen Euro, 129 Mill</w:t>
      </w:r>
      <w:r w:rsidRPr="00FE4E0F">
        <w:t>i</w:t>
      </w:r>
      <w:r w:rsidRPr="00FE4E0F">
        <w:t>onen Euro Geschäftsguthaben der Mitglieder. Rücklagen waren danach nur noch in Form der gesetzlichen Rücklage von 602.000 Euro vorha</w:t>
      </w:r>
      <w:r w:rsidRPr="00FE4E0F">
        <w:t>n</w:t>
      </w:r>
      <w:r w:rsidRPr="00FE4E0F">
        <w:t>den</w:t>
      </w:r>
      <w:r>
        <w:t>.</w:t>
      </w:r>
    </w:p>
    <w:p w:rsidR="006D618F" w:rsidRDefault="006D618F" w:rsidP="00DE42A7">
      <w:r>
        <w:t>Warum sollte es bei Fusionen von Genossenschaften anders sein, Geno</w:t>
      </w:r>
      <w:r>
        <w:t>s</w:t>
      </w:r>
      <w:r>
        <w:t xml:space="preserve">senschaftsmitglieder sind schließlich keine Menschen zweiter Klasse. </w:t>
      </w:r>
    </w:p>
    <w:p w:rsidR="006D618F" w:rsidRPr="004C163D" w:rsidRDefault="006D618F" w:rsidP="00020948">
      <w:pPr>
        <w:pStyle w:val="berschrift1"/>
      </w:pPr>
      <w:r w:rsidRPr="004C163D">
        <w:t>Schlusswort</w:t>
      </w:r>
    </w:p>
    <w:p w:rsidR="006D618F" w:rsidRPr="006215F7" w:rsidRDefault="006D618F" w:rsidP="006215F7">
      <w:r>
        <w:t>Mit der Fusion</w:t>
      </w:r>
      <w:r w:rsidRPr="006215F7">
        <w:t xml:space="preserve"> </w:t>
      </w:r>
      <w:r>
        <w:t xml:space="preserve">wurde die </w:t>
      </w:r>
      <w:r>
        <w:rPr>
          <w:noProof/>
        </w:rPr>
        <w:t>Erfurter Bank eG</w:t>
      </w:r>
      <w:r w:rsidRPr="006215F7">
        <w:t xml:space="preserve"> nach langen Jah</w:t>
      </w:r>
      <w:r>
        <w:t>ren des Best</w:t>
      </w:r>
      <w:r>
        <w:t>e</w:t>
      </w:r>
      <w:r>
        <w:t>hens nicht nur ihrer Existenz beraubt sondern auch des</w:t>
      </w:r>
      <w:r w:rsidRPr="006215F7">
        <w:t xml:space="preserve"> in den lan</w:t>
      </w:r>
      <w:r>
        <w:t>gen Jahren der wirtschaftlichen Tätigkeit angesammelten</w:t>
      </w:r>
      <w:r w:rsidRPr="006215F7">
        <w:t xml:space="preserve"> Millione</w:t>
      </w:r>
      <w:r w:rsidRPr="006215F7">
        <w:t>n</w:t>
      </w:r>
      <w:r w:rsidRPr="006215F7">
        <w:t xml:space="preserve">vermögen. </w:t>
      </w:r>
    </w:p>
    <w:p w:rsidR="006D618F" w:rsidRPr="006215F7" w:rsidRDefault="006D618F" w:rsidP="006215F7">
      <w:r w:rsidRPr="006215F7">
        <w:t>Seit dem Jahr 1970 sind mehr als 6.</w:t>
      </w:r>
      <w:r>
        <w:t>2</w:t>
      </w:r>
      <w:r w:rsidRPr="006215F7">
        <w:t>00 Volks- und Raiffeisenbanken durch Fusionen vom Markt verschwunden. Wo sich früher blühende Raif</w:t>
      </w:r>
      <w:r w:rsidRPr="006215F7">
        <w:t>f</w:t>
      </w:r>
      <w:r w:rsidRPr="006215F7">
        <w:t>eisen- und Volksbank-Landschaften befanden, existiert heute keine G</w:t>
      </w:r>
      <w:r w:rsidRPr="006215F7">
        <w:t>e</w:t>
      </w:r>
      <w:r w:rsidRPr="006215F7">
        <w:t xml:space="preserve">nossenschaftsbank mehr, oft nicht mal mehr ein Geldautomat. Angeblich weil es aus betriebswirtschaftlicher Sicht richtiger war, die Zweigstelle zu schließen und die Gebäude an den Meistbietenden zu verkaufen. </w:t>
      </w:r>
      <w:r>
        <w:t>Es en</w:t>
      </w:r>
      <w:r>
        <w:t>t</w:t>
      </w:r>
      <w:r>
        <w:t>steht der Eindruck, d</w:t>
      </w:r>
      <w:r w:rsidRPr="006215F7">
        <w:t>ie dortigen Mitglieder interessier</w:t>
      </w:r>
      <w:r>
        <w:t xml:space="preserve">ten </w:t>
      </w:r>
      <w:r w:rsidRPr="006215F7">
        <w:t>niemand</w:t>
      </w:r>
      <w:r>
        <w:t>en</w:t>
      </w:r>
      <w:r w:rsidRPr="006215F7">
        <w:t xml:space="preserve"> mehr. Man hatte </w:t>
      </w:r>
      <w:r>
        <w:t xml:space="preserve">ja </w:t>
      </w:r>
      <w:r w:rsidRPr="006215F7">
        <w:t>schließlich, was man von Beginn an wirklich wollte: Das Vermögen der Genossenschaft.</w:t>
      </w:r>
    </w:p>
    <w:p w:rsidR="006D618F" w:rsidRPr="006215F7" w:rsidRDefault="006D618F" w:rsidP="002E1983">
      <w:pPr>
        <w:spacing w:after="0"/>
      </w:pPr>
      <w:r w:rsidRPr="006215F7">
        <w:t>Nach unserer Ansicht sind heutige Fusionen deshalb eine „Erbschleich</w:t>
      </w:r>
      <w:r w:rsidRPr="006215F7">
        <w:t>e</w:t>
      </w:r>
      <w:r w:rsidRPr="006215F7">
        <w:t>rei</w:t>
      </w:r>
      <w:r>
        <w:t>“</w:t>
      </w:r>
      <w:r w:rsidRPr="006215F7">
        <w:t xml:space="preserve"> unter </w:t>
      </w:r>
      <w:r>
        <w:t>Missbrauch</w:t>
      </w:r>
      <w:r w:rsidRPr="006215F7">
        <w:t xml:space="preserve"> der Besonderheiten der Rechtsform eG.</w:t>
      </w:r>
      <w:r>
        <w:t xml:space="preserve"> Normale</w:t>
      </w:r>
      <w:r>
        <w:t>r</w:t>
      </w:r>
      <w:r>
        <w:t>weise müsste Grund</w:t>
      </w:r>
      <w:r w:rsidRPr="006215F7">
        <w:t xml:space="preserve"> für eine Fusion zwischen zwei Genossenschaften </w:t>
      </w:r>
      <w:r>
        <w:t xml:space="preserve">eine </w:t>
      </w:r>
      <w:r w:rsidRPr="006215F7">
        <w:t>Notlage einer der beiden Genossenschaften</w:t>
      </w:r>
      <w:r>
        <w:t xml:space="preserve"> sein</w:t>
      </w:r>
      <w:r w:rsidRPr="006215F7">
        <w:t xml:space="preserve">. Doch dies war hier nicht der Fall. Die </w:t>
      </w:r>
      <w:r>
        <w:rPr>
          <w:noProof/>
        </w:rPr>
        <w:t>Erfurter Bank eG</w:t>
      </w:r>
      <w:r w:rsidRPr="006215F7">
        <w:t xml:space="preserve"> besaß genügend Ve</w:t>
      </w:r>
      <w:r w:rsidRPr="006215F7">
        <w:t>r</w:t>
      </w:r>
      <w:r w:rsidRPr="006215F7">
        <w:t>mögen und erzielte jährlich beste bis hervorragende Gewinne. Deshalb diente die Fusion zw</w:t>
      </w:r>
      <w:r w:rsidRPr="006215F7">
        <w:t>i</w:t>
      </w:r>
      <w:r w:rsidRPr="006215F7">
        <w:t xml:space="preserve">schen der </w:t>
      </w:r>
      <w:r>
        <w:rPr>
          <w:noProof/>
        </w:rPr>
        <w:t>Erfurter Bank eG</w:t>
      </w:r>
      <w:r w:rsidRPr="006215F7">
        <w:t xml:space="preserve"> und der </w:t>
      </w:r>
      <w:r>
        <w:rPr>
          <w:noProof/>
        </w:rPr>
        <w:t>vr bank Südthüringen eG</w:t>
      </w:r>
      <w:r w:rsidRPr="006215F7">
        <w:t xml:space="preserve"> auf keinen Fall der Förderung der Mitgli</w:t>
      </w:r>
      <w:r w:rsidRPr="006215F7">
        <w:t>e</w:t>
      </w:r>
      <w:r w:rsidRPr="006215F7">
        <w:t>der. Im Gegenteil. Sie diente nur dazu, die Bankgeschäfte der beiden Banken zusammen zu führen und das Geno</w:t>
      </w:r>
      <w:r w:rsidRPr="006215F7">
        <w:t>s</w:t>
      </w:r>
      <w:r w:rsidRPr="006215F7">
        <w:t xml:space="preserve">senschaftsvermögen der </w:t>
      </w:r>
      <w:r>
        <w:rPr>
          <w:noProof/>
        </w:rPr>
        <w:t>Erfurter Bank eG</w:t>
      </w:r>
      <w:r w:rsidRPr="006215F7">
        <w:t xml:space="preserve"> ohne jeglichen Ersatz für die Mitglieder an die </w:t>
      </w:r>
      <w:r>
        <w:rPr>
          <w:noProof/>
        </w:rPr>
        <w:t>vr bank Südthüringen eG</w:t>
      </w:r>
      <w:r w:rsidRPr="006215F7">
        <w:t xml:space="preserve"> zu versch</w:t>
      </w:r>
      <w:r>
        <w:t>ieb</w:t>
      </w:r>
      <w:r w:rsidRPr="006215F7">
        <w:t xml:space="preserve">en. Die </w:t>
      </w:r>
      <w:r>
        <w:rPr>
          <w:noProof/>
        </w:rPr>
        <w:t>Vertreter</w:t>
      </w:r>
      <w:r w:rsidRPr="006215F7">
        <w:t xml:space="preserve"> der </w:t>
      </w:r>
      <w:r>
        <w:rPr>
          <w:noProof/>
        </w:rPr>
        <w:t>Erfurter Bank eG</w:t>
      </w:r>
      <w:r w:rsidRPr="006215F7">
        <w:t xml:space="preserve"> wurden nur zur Zustimmung b</w:t>
      </w:r>
      <w:r w:rsidRPr="006215F7">
        <w:t>e</w:t>
      </w:r>
      <w:r w:rsidRPr="006215F7">
        <w:t>nötigt.</w:t>
      </w:r>
    </w:p>
    <w:p w:rsidR="006D618F" w:rsidRPr="001A6A06" w:rsidRDefault="006D618F" w:rsidP="006215F7">
      <w:r w:rsidRPr="006215F7">
        <w:t>Nach Zustimmung zur Fusion und deren Eintragung im Genossenschaft</w:t>
      </w:r>
      <w:r w:rsidRPr="006215F7">
        <w:t>s</w:t>
      </w:r>
      <w:r w:rsidRPr="006215F7">
        <w:t xml:space="preserve">register wurde die </w:t>
      </w:r>
      <w:r>
        <w:rPr>
          <w:noProof/>
        </w:rPr>
        <w:t xml:space="preserve">Erfurter Bank eG </w:t>
      </w:r>
      <w:r w:rsidRPr="006215F7">
        <w:t>gelöscht. Sie hört</w:t>
      </w:r>
      <w:r>
        <w:t>e</w:t>
      </w:r>
      <w:r w:rsidRPr="006215F7">
        <w:t xml:space="preserve"> au</w:t>
      </w:r>
      <w:r>
        <w:t>f zu existieren</w:t>
      </w:r>
      <w:r w:rsidRPr="001A6A06">
        <w:t xml:space="preserve">. </w:t>
      </w:r>
      <w:r w:rsidRPr="001A6A06">
        <w:lastRenderedPageBreak/>
        <w:t>Nutznießer wurden die Vorstände, sie erhalten in der Folge höhere Bez</w:t>
      </w:r>
      <w:r w:rsidRPr="001A6A06">
        <w:t>ü</w:t>
      </w:r>
      <w:r w:rsidRPr="001A6A06">
        <w:t>ge.</w:t>
      </w:r>
    </w:p>
    <w:p w:rsidR="006D618F" w:rsidRDefault="006D618F" w:rsidP="00A46DE5">
      <w:pPr>
        <w:rPr>
          <w:i/>
        </w:rPr>
      </w:pPr>
      <w:r>
        <w:rPr>
          <w:rFonts w:eastAsia="Times New Roman" w:cs="Times New Roman"/>
        </w:rPr>
        <w:t xml:space="preserve">Beleuchtet werden muss aber auch die Rolle des Prüfungsverbandes. </w:t>
      </w:r>
      <w:r w:rsidRPr="006215F7">
        <w:rPr>
          <w:rFonts w:eastAsia="Times New Roman" w:cs="Times New Roman"/>
        </w:rPr>
        <w:t>Bei einer Verschmelzung ist stets auch ein Prüfungsgutachten des zuständ</w:t>
      </w:r>
      <w:r w:rsidRPr="006215F7">
        <w:rPr>
          <w:rFonts w:eastAsia="Times New Roman" w:cs="Times New Roman"/>
        </w:rPr>
        <w:t>i</w:t>
      </w:r>
      <w:r w:rsidRPr="006215F7">
        <w:rPr>
          <w:rFonts w:eastAsia="Times New Roman" w:cs="Times New Roman"/>
        </w:rPr>
        <w:t xml:space="preserve">gen Genossenschaftsverbandes zu erstellen. Hier war es Aufgabe des </w:t>
      </w:r>
      <w:r w:rsidRPr="008065AC">
        <w:rPr>
          <w:rFonts w:eastAsia="MS Mincho" w:cs="Times New Roman"/>
          <w:noProof/>
          <w:szCs w:val="24"/>
          <w:lang w:eastAsia="de-DE"/>
        </w:rPr>
        <w:t>Genossenschaftsverband - Verband der Regionen e.V.</w:t>
      </w:r>
      <w:r>
        <w:rPr>
          <w:rFonts w:eastAsia="MS Mincho" w:cs="Times New Roman"/>
          <w:noProof/>
          <w:szCs w:val="24"/>
          <w:lang w:eastAsia="de-DE"/>
        </w:rPr>
        <w:t>.</w:t>
      </w:r>
      <w:r w:rsidRPr="006215F7">
        <w:rPr>
          <w:rFonts w:eastAsia="Times New Roman" w:cs="Times New Roman"/>
        </w:rPr>
        <w:t xml:space="preserve"> Dieses Gutachten zu erstellen ist </w:t>
      </w:r>
      <w:r>
        <w:rPr>
          <w:rFonts w:eastAsia="Times New Roman" w:cs="Times New Roman"/>
        </w:rPr>
        <w:t xml:space="preserve">eine </w:t>
      </w:r>
      <w:r w:rsidRPr="00D368F8">
        <w:rPr>
          <w:rFonts w:eastAsia="Times New Roman" w:cs="Times New Roman"/>
        </w:rPr>
        <w:t>Pflichtaufgabe</w:t>
      </w:r>
      <w:r w:rsidRPr="006215F7">
        <w:rPr>
          <w:rFonts w:eastAsia="Times New Roman" w:cs="Times New Roman"/>
        </w:rPr>
        <w:t xml:space="preserve"> des Verbandes. </w:t>
      </w:r>
      <w:r>
        <w:rPr>
          <w:rFonts w:eastAsia="Times New Roman" w:cs="Times New Roman"/>
        </w:rPr>
        <w:t>In diesem sollen au</w:t>
      </w:r>
      <w:r>
        <w:rPr>
          <w:rFonts w:eastAsia="Times New Roman" w:cs="Times New Roman"/>
        </w:rPr>
        <w:t>s</w:t>
      </w:r>
      <w:r>
        <w:rPr>
          <w:rFonts w:eastAsia="Times New Roman" w:cs="Times New Roman"/>
        </w:rPr>
        <w:t>drücklich die Mitgliederbelange einbezogen werden, da der Prüfungsve</w:t>
      </w:r>
      <w:r>
        <w:rPr>
          <w:rFonts w:eastAsia="Times New Roman" w:cs="Times New Roman"/>
        </w:rPr>
        <w:t>r</w:t>
      </w:r>
      <w:r>
        <w:rPr>
          <w:rFonts w:eastAsia="Times New Roman" w:cs="Times New Roman"/>
        </w:rPr>
        <w:t>band haftet, wenn durch ein fehlerhaftes Gutachten ein Schaden en</w:t>
      </w:r>
      <w:r>
        <w:rPr>
          <w:rFonts w:eastAsia="Times New Roman" w:cs="Times New Roman"/>
        </w:rPr>
        <w:t>t</w:t>
      </w:r>
      <w:r>
        <w:rPr>
          <w:rFonts w:eastAsia="Times New Roman" w:cs="Times New Roman"/>
        </w:rPr>
        <w:t>steht. Das Verschmelzungsgutachten muss allerdings kausal für den Schaden sein, was nur bei schwerwiegenden Bedenken gegen die Ve</w:t>
      </w:r>
      <w:r>
        <w:rPr>
          <w:rFonts w:eastAsia="Times New Roman" w:cs="Times New Roman"/>
        </w:rPr>
        <w:t>r</w:t>
      </w:r>
      <w:r>
        <w:rPr>
          <w:rFonts w:eastAsia="Times New Roman" w:cs="Times New Roman"/>
        </w:rPr>
        <w:t>schmelzung oder die Fusion angenommen werden kann. „</w:t>
      </w:r>
      <w:r w:rsidRPr="006215F7">
        <w:rPr>
          <w:i/>
        </w:rPr>
        <w:t xml:space="preserve">Bei Vorsatz kommt auch eine deliktsrechtliche Haftung des Prüfungsverbands gemäß § 823 Abs. 2 BGB </w:t>
      </w:r>
      <w:proofErr w:type="spellStart"/>
      <w:r w:rsidRPr="006215F7">
        <w:rPr>
          <w:i/>
        </w:rPr>
        <w:t>i.V.m</w:t>
      </w:r>
      <w:proofErr w:type="spellEnd"/>
      <w:r w:rsidRPr="006215F7">
        <w:rPr>
          <w:i/>
        </w:rPr>
        <w:t xml:space="preserve">. § 150, 151 GenG bzw. § 826 BGB gegenüber der Genossenschaft sowie ihren Mitgliedern und Gläubigern in Betracht (Beuthien, §§ 2 ff. UmwG </w:t>
      </w:r>
      <w:proofErr w:type="spellStart"/>
      <w:r w:rsidRPr="006215F7">
        <w:rPr>
          <w:i/>
        </w:rPr>
        <w:t>Rdnr</w:t>
      </w:r>
      <w:proofErr w:type="spellEnd"/>
      <w:r w:rsidRPr="006215F7">
        <w:rPr>
          <w:i/>
        </w:rPr>
        <w:t>. 107,108).“</w:t>
      </w:r>
      <w:r w:rsidRPr="006215F7">
        <w:rPr>
          <w:i/>
          <w:vertAlign w:val="superscript"/>
        </w:rPr>
        <w:footnoteReference w:id="3"/>
      </w:r>
      <w:r w:rsidRPr="006215F7">
        <w:rPr>
          <w:i/>
        </w:rPr>
        <w:t xml:space="preserve"> </w:t>
      </w:r>
    </w:p>
    <w:p w:rsidR="006D618F" w:rsidRPr="00A46DE5" w:rsidRDefault="006D618F" w:rsidP="00A46DE5">
      <w:pPr>
        <w:rPr>
          <w:rFonts w:eastAsia="Times New Roman" w:cs="Times New Roman"/>
        </w:rPr>
      </w:pPr>
      <w:r>
        <w:rPr>
          <w:rFonts w:eastAsia="Times New Roman" w:cs="Times New Roman"/>
        </w:rPr>
        <w:t xml:space="preserve">Deshalb wird </w:t>
      </w:r>
      <w:r w:rsidRPr="006215F7">
        <w:t>in Verschmelzungsberichten</w:t>
      </w:r>
      <w:r>
        <w:t xml:space="preserve"> gerne </w:t>
      </w:r>
      <w:r w:rsidRPr="006215F7">
        <w:t>lapidar in wenigen Sä</w:t>
      </w:r>
      <w:r w:rsidRPr="006215F7">
        <w:t>t</w:t>
      </w:r>
      <w:r w:rsidRPr="006215F7">
        <w:t>zen ausgeführt:</w:t>
      </w:r>
    </w:p>
    <w:p w:rsidR="006D618F" w:rsidRDefault="006D618F" w:rsidP="00A46DE5">
      <w:pPr>
        <w:rPr>
          <w:i/>
        </w:rPr>
      </w:pPr>
      <w:r w:rsidRPr="006215F7">
        <w:rPr>
          <w:i/>
        </w:rPr>
        <w:t>„Die Vorstände der Genossenschaft(en) haben sehr eingehend geprüft, ob andere Kooperationsformen genutzt werden könnten. Nach Abwägung aller Argumente haben sie sich für die Verschmelzung zu einer Genosse</w:t>
      </w:r>
      <w:r w:rsidRPr="006215F7">
        <w:rPr>
          <w:i/>
        </w:rPr>
        <w:t>n</w:t>
      </w:r>
      <w:r w:rsidRPr="006215F7">
        <w:rPr>
          <w:i/>
        </w:rPr>
        <w:t>schaft entschieden.“</w:t>
      </w:r>
    </w:p>
    <w:p w:rsidR="006D618F" w:rsidRPr="00DE1980" w:rsidRDefault="006D618F" w:rsidP="007E21FE">
      <w:r>
        <w:t xml:space="preserve">Was von Vorständen und Verbänden nicht beachtet oder bewusst nicht in die Fusion mit einbezogen wird ist die folgende Tatsache: </w:t>
      </w:r>
    </w:p>
    <w:p w:rsidR="006D618F" w:rsidRPr="00AD31A8" w:rsidRDefault="006D618F" w:rsidP="007E21FE">
      <w:pPr>
        <w:pStyle w:val="Listenabsatz"/>
        <w:numPr>
          <w:ilvl w:val="0"/>
          <w:numId w:val="19"/>
        </w:numPr>
        <w:spacing w:after="80" w:line="252" w:lineRule="auto"/>
        <w:jc w:val="left"/>
      </w:pPr>
      <w:r>
        <w:t>Firmiert die</w:t>
      </w:r>
      <w:r w:rsidRPr="00AD31A8">
        <w:t xml:space="preserve"> </w:t>
      </w:r>
      <w:r w:rsidRPr="00C87005">
        <w:rPr>
          <w:b/>
          <w:u w:val="single"/>
        </w:rPr>
        <w:t>übergebende</w:t>
      </w:r>
      <w:r w:rsidRPr="00AD31A8">
        <w:t xml:space="preserve"> Volks- oder Raiffeisenbank </w:t>
      </w:r>
      <w:r>
        <w:t>als Aktie</w:t>
      </w:r>
      <w:r>
        <w:t>n</w:t>
      </w:r>
      <w:r>
        <w:t>gesellschaft</w:t>
      </w:r>
      <w:r w:rsidRPr="00AD31A8">
        <w:t xml:space="preserve">, würden die Mitglieder als Aktionäre den vollen </w:t>
      </w:r>
      <w:r>
        <w:t>Unte</w:t>
      </w:r>
      <w:r>
        <w:t>r</w:t>
      </w:r>
      <w:r>
        <w:t>nehmensw</w:t>
      </w:r>
      <w:r w:rsidRPr="00AD31A8">
        <w:t>ert ihres Anteils als Gegenwert in Geschäftsguthaben der übernehmenden Bank in der Rechtsform eG erhalten</w:t>
      </w:r>
      <w:r>
        <w:t>.</w:t>
      </w:r>
      <w:r w:rsidRPr="00AD31A8">
        <w:t xml:space="preserve"> </w:t>
      </w:r>
    </w:p>
    <w:p w:rsidR="006D618F" w:rsidRPr="00AD31A8" w:rsidRDefault="006D618F" w:rsidP="007E21FE">
      <w:pPr>
        <w:pStyle w:val="Listenabsatz"/>
        <w:numPr>
          <w:ilvl w:val="0"/>
          <w:numId w:val="19"/>
        </w:numPr>
        <w:spacing w:after="80" w:line="252" w:lineRule="auto"/>
        <w:jc w:val="left"/>
      </w:pPr>
      <w:r>
        <w:t>Firmiert</w:t>
      </w:r>
      <w:r w:rsidRPr="00AD31A8">
        <w:t xml:space="preserve"> die </w:t>
      </w:r>
      <w:r w:rsidRPr="004B37B9">
        <w:rPr>
          <w:b/>
          <w:u w:val="single"/>
        </w:rPr>
        <w:t>übernehmende</w:t>
      </w:r>
      <w:r w:rsidRPr="00AD31A8">
        <w:t xml:space="preserve"> Volks- oder Raiffeisenb</w:t>
      </w:r>
      <w:r>
        <w:t>ank als Akt</w:t>
      </w:r>
      <w:r>
        <w:t>i</w:t>
      </w:r>
      <w:r>
        <w:t>engesellschaft</w:t>
      </w:r>
      <w:r w:rsidRPr="00AD31A8">
        <w:t>, würden die Mitglieder der übergebenden Volks</w:t>
      </w:r>
      <w:r>
        <w:t xml:space="preserve">- oder Raiffeisenbank </w:t>
      </w:r>
      <w:r w:rsidRPr="00AD31A8">
        <w:t xml:space="preserve">pro einzelnen Geschäftsanteil </w:t>
      </w:r>
      <w:r>
        <w:t xml:space="preserve">ebenfalls </w:t>
      </w:r>
      <w:r w:rsidRPr="00AD31A8">
        <w:t>den Unternehmenswert der eG als Gegenwert in Aktien erhalten.</w:t>
      </w:r>
    </w:p>
    <w:p w:rsidR="006D618F" w:rsidRDefault="006D618F" w:rsidP="007E21FE">
      <w:pPr>
        <w:spacing w:after="0"/>
      </w:pPr>
      <w:r>
        <w:t xml:space="preserve">Damit wird </w:t>
      </w:r>
      <w:r w:rsidRPr="00DE1980">
        <w:t>die</w:t>
      </w:r>
      <w:r>
        <w:t xml:space="preserve"> im Grundgesetz festgeschriebene</w:t>
      </w:r>
      <w:r w:rsidRPr="00DE1980">
        <w:t xml:space="preserve"> Eig</w:t>
      </w:r>
      <w:r>
        <w:t>entumsgarantie u</w:t>
      </w:r>
      <w:r>
        <w:t>m</w:t>
      </w:r>
      <w:r>
        <w:t>gesetzt</w:t>
      </w:r>
      <w:r w:rsidRPr="00DE1980">
        <w:t>.</w:t>
      </w:r>
      <w:r>
        <w:t xml:space="preserve"> </w:t>
      </w:r>
    </w:p>
    <w:p w:rsidR="006D618F" w:rsidRPr="006215F7" w:rsidRDefault="006D618F" w:rsidP="007E21FE">
      <w:pPr>
        <w:rPr>
          <w:i/>
        </w:rPr>
      </w:pPr>
      <w:r>
        <w:lastRenderedPageBreak/>
        <w:t>Wo steht geschrieben, dass diese für Genossenschaftsmitglieder nicht gilt?</w:t>
      </w:r>
    </w:p>
    <w:p w:rsidR="006D618F" w:rsidRDefault="006D618F" w:rsidP="006215F7">
      <w:r w:rsidRPr="006215F7">
        <w:t xml:space="preserve">Es ist mit an Sicherheit grenzender Wahrscheinlichkeit anzunehmen, dass sich die </w:t>
      </w:r>
      <w:r>
        <w:rPr>
          <w:noProof/>
        </w:rPr>
        <w:t>Vertreter</w:t>
      </w:r>
      <w:r>
        <w:t xml:space="preserve"> der </w:t>
      </w:r>
      <w:r>
        <w:rPr>
          <w:noProof/>
        </w:rPr>
        <w:t>Erfurter Bank eG</w:t>
      </w:r>
      <w:r w:rsidRPr="006215F7">
        <w:t xml:space="preserve"> für eine andere, finanziell die Mi</w:t>
      </w:r>
      <w:r w:rsidRPr="006215F7">
        <w:t>t</w:t>
      </w:r>
      <w:r w:rsidRPr="006215F7">
        <w:t xml:space="preserve">glieder massiv begünstigende Möglichkeit entschieden hätten, wenn sie es gewusst hätten. Der </w:t>
      </w:r>
      <w:r>
        <w:rPr>
          <w:noProof/>
        </w:rPr>
        <w:t xml:space="preserve">Genossenschaftsverband - Verband der Regionen e.V. </w:t>
      </w:r>
      <w:r w:rsidRPr="006215F7">
        <w:t>hätte die Möglichkeit gehabt, den Vorstand zur vollständigen Info</w:t>
      </w:r>
      <w:r w:rsidRPr="006215F7">
        <w:t>r</w:t>
      </w:r>
      <w:r w:rsidRPr="006215F7">
        <w:t>mation über finanziell für die Mitglieder bessere Möglichkeiten anstelle einer Verschmelzung mittels ersatzloser Vermögensübertragung, anz</w:t>
      </w:r>
      <w:r w:rsidRPr="006215F7">
        <w:t>u</w:t>
      </w:r>
      <w:r w:rsidRPr="006215F7">
        <w:t xml:space="preserve">halten. Dies geschah nicht.  </w:t>
      </w:r>
    </w:p>
    <w:p w:rsidR="006D618F" w:rsidRDefault="006D618F" w:rsidP="002F0EC8">
      <w:r>
        <w:t>Vor diesem Hintergrund stellt sich igenos e.V. die Frage, ob die Entsche</w:t>
      </w:r>
      <w:r>
        <w:t>i</w:t>
      </w:r>
      <w:r>
        <w:t>dung darüber eine Vertreterversammlung treffen kann oder ob diese e</w:t>
      </w:r>
      <w:r>
        <w:t>i</w:t>
      </w:r>
      <w:r>
        <w:t xml:space="preserve">ner Generalversammlung aller Mitglieder vorbehalten sein muss. </w:t>
      </w:r>
    </w:p>
    <w:p w:rsidR="006D618F" w:rsidRPr="006215F7" w:rsidRDefault="006D618F" w:rsidP="00A46DE5">
      <w:r w:rsidRPr="006215F7">
        <w:t>Es bleibt ferner die Frage offen, ob solches Handeln der verantwortlichen Personen und Verbände mit den Eigentumsrechten des Grundge</w:t>
      </w:r>
      <w:r>
        <w:t xml:space="preserve">setzes </w:t>
      </w:r>
      <w:r w:rsidRPr="006215F7">
        <w:t>vereinbar sind.</w:t>
      </w:r>
    </w:p>
    <w:p w:rsidR="006D618F" w:rsidRPr="006215F7" w:rsidRDefault="006D618F" w:rsidP="00A46DE5">
      <w:r>
        <w:t>Und nicht z</w:t>
      </w:r>
      <w:bookmarkStart w:id="0" w:name="_GoBack"/>
      <w:bookmarkEnd w:id="0"/>
      <w:r>
        <w:t xml:space="preserve">uletzt vertrat selbst </w:t>
      </w:r>
      <w:r w:rsidRPr="006215F7">
        <w:t>Hermann Schulze-Delitzsch, der Gründer der Volksban</w:t>
      </w:r>
      <w:r>
        <w:t xml:space="preserve">ken, </w:t>
      </w:r>
      <w:r w:rsidRPr="006215F7">
        <w:t xml:space="preserve">die Ansicht, dass die Rechtsform Genossenschaft für Banken nur eine Vorstufe sei. </w:t>
      </w:r>
      <w:r>
        <w:t xml:space="preserve">Ab einer gewissen Höhe der Bilanzsumme </w:t>
      </w:r>
      <w:r w:rsidRPr="006215F7">
        <w:t>sollten Genossenschaftsban</w:t>
      </w:r>
      <w:r>
        <w:t>ken</w:t>
      </w:r>
      <w:r w:rsidRPr="006215F7">
        <w:t xml:space="preserve"> in die Rechtsform der Aktiengesellschaft wechseln. Nur ein solcher Wechsel garantiert heute den Mitgliedern der Genossenschaftsbanken einen Anteil am Vermögen ihres eigenen Unte</w:t>
      </w:r>
      <w:r w:rsidRPr="006215F7">
        <w:t>r</w:t>
      </w:r>
      <w:r w:rsidRPr="006215F7">
        <w:t>nehmens.</w:t>
      </w:r>
    </w:p>
    <w:p w:rsidR="006D618F" w:rsidRDefault="006D618F">
      <w:pPr>
        <w:spacing w:after="200"/>
        <w:jc w:val="left"/>
        <w:rPr>
          <w:rStyle w:val="Hyperlink"/>
        </w:rPr>
      </w:pPr>
      <w:r>
        <w:t xml:space="preserve">Bei Fragen:  Email an </w:t>
      </w:r>
      <w:hyperlink r:id="rId14" w:history="1">
        <w:r w:rsidRPr="00CD7E59">
          <w:rPr>
            <w:rStyle w:val="Hyperlink"/>
          </w:rPr>
          <w:t>post@igenos.de</w:t>
        </w:r>
      </w:hyperlink>
      <w:r>
        <w:t xml:space="preserve">  oder  </w:t>
      </w:r>
      <w:hyperlink r:id="rId15" w:history="1">
        <w:proofErr w:type="spellStart"/>
        <w:r w:rsidRPr="00A70187">
          <w:rPr>
            <w:rStyle w:val="Hyperlink"/>
          </w:rPr>
          <w:t>post@igenos-sued.de</w:t>
        </w:r>
        <w:proofErr w:type="spellEnd"/>
      </w:hyperlink>
    </w:p>
    <w:p w:rsidR="006D618F" w:rsidRDefault="006D618F">
      <w:pPr>
        <w:spacing w:after="200"/>
        <w:jc w:val="left"/>
        <w:rPr>
          <w:rStyle w:val="Hyperlink"/>
          <w:b/>
          <w:color w:val="auto"/>
          <w:u w:val="none"/>
        </w:rPr>
      </w:pPr>
    </w:p>
    <w:p w:rsidR="006D618F" w:rsidRDefault="006D618F">
      <w:pPr>
        <w:spacing w:after="200" w:line="276" w:lineRule="auto"/>
        <w:jc w:val="left"/>
        <w:rPr>
          <w:rStyle w:val="Hyperlink"/>
          <w:b/>
          <w:color w:val="auto"/>
          <w:u w:val="none"/>
        </w:rPr>
      </w:pPr>
      <w:r>
        <w:rPr>
          <w:rStyle w:val="Hyperlink"/>
          <w:b/>
          <w:color w:val="auto"/>
          <w:u w:val="none"/>
        </w:rPr>
        <w:br w:type="page"/>
      </w:r>
    </w:p>
    <w:p w:rsidR="006D618F" w:rsidRPr="007E21FE" w:rsidRDefault="006D618F" w:rsidP="007E21FE">
      <w:pPr>
        <w:spacing w:after="200"/>
        <w:jc w:val="center"/>
        <w:rPr>
          <w:rStyle w:val="Hyperlink"/>
          <w:b/>
          <w:color w:val="auto"/>
          <w:sz w:val="28"/>
          <w:szCs w:val="28"/>
          <w:u w:val="none"/>
        </w:rPr>
      </w:pPr>
      <w:r w:rsidRPr="007E21FE">
        <w:rPr>
          <w:rStyle w:val="Hyperlink"/>
          <w:b/>
          <w:color w:val="auto"/>
          <w:sz w:val="28"/>
          <w:szCs w:val="28"/>
          <w:u w:val="none"/>
        </w:rPr>
        <w:lastRenderedPageBreak/>
        <w:t>Weitere Hintergrundinformationen zum Thema</w:t>
      </w:r>
    </w:p>
    <w:p w:rsidR="006D618F" w:rsidRDefault="006D618F" w:rsidP="00020948">
      <w:pPr>
        <w:jc w:val="center"/>
      </w:pPr>
    </w:p>
    <w:p w:rsidR="006D618F" w:rsidRDefault="006D618F" w:rsidP="00020948">
      <w:pPr>
        <w:jc w:val="center"/>
      </w:pPr>
    </w:p>
    <w:p w:rsidR="006D618F" w:rsidRPr="00D635ED" w:rsidRDefault="006D618F" w:rsidP="00020948">
      <w:pPr>
        <w:jc w:val="center"/>
        <w:rPr>
          <w:rStyle w:val="Hyperlink"/>
          <w:b/>
          <w:color w:val="auto"/>
          <w:sz w:val="24"/>
          <w:szCs w:val="24"/>
        </w:rPr>
      </w:pPr>
      <w:hyperlink r:id="rId16" w:history="1">
        <w:proofErr w:type="spellStart"/>
        <w:r w:rsidRPr="00D635ED">
          <w:rPr>
            <w:rStyle w:val="Hyperlink"/>
            <w:b/>
            <w:color w:val="auto"/>
            <w:sz w:val="24"/>
            <w:szCs w:val="24"/>
          </w:rPr>
          <w:t>www.genonachrichten.de</w:t>
        </w:r>
        <w:proofErr w:type="spellEnd"/>
      </w:hyperlink>
    </w:p>
    <w:p w:rsidR="006D618F" w:rsidRDefault="006D618F" w:rsidP="00020948">
      <w:pPr>
        <w:jc w:val="center"/>
      </w:pPr>
    </w:p>
    <w:p w:rsidR="006D618F" w:rsidRDefault="006D618F" w:rsidP="00020948">
      <w:pPr>
        <w:jc w:val="center"/>
        <w:rPr>
          <w:rStyle w:val="Hyperlink"/>
          <w:b/>
          <w:color w:val="auto"/>
          <w:sz w:val="24"/>
          <w:szCs w:val="24"/>
        </w:rPr>
      </w:pPr>
      <w:hyperlink r:id="rId17" w:history="1">
        <w:proofErr w:type="spellStart"/>
        <w:r w:rsidRPr="00D635ED">
          <w:rPr>
            <w:rStyle w:val="Hyperlink"/>
            <w:b/>
            <w:color w:val="auto"/>
            <w:sz w:val="24"/>
            <w:szCs w:val="24"/>
          </w:rPr>
          <w:t>www.geno-bild.de</w:t>
        </w:r>
        <w:proofErr w:type="spellEnd"/>
      </w:hyperlink>
    </w:p>
    <w:p w:rsidR="006D618F" w:rsidRPr="00D635ED" w:rsidRDefault="006D618F" w:rsidP="00020948">
      <w:pPr>
        <w:jc w:val="center"/>
        <w:rPr>
          <w:rStyle w:val="Hyperlink"/>
          <w:b/>
          <w:color w:val="auto"/>
          <w:sz w:val="24"/>
          <w:szCs w:val="24"/>
        </w:rPr>
      </w:pPr>
    </w:p>
    <w:p w:rsidR="006D618F" w:rsidRDefault="006D618F" w:rsidP="00020948">
      <w:pPr>
        <w:jc w:val="center"/>
        <w:rPr>
          <w:rStyle w:val="Hyperlink"/>
          <w:b/>
          <w:color w:val="auto"/>
          <w:sz w:val="24"/>
          <w:szCs w:val="24"/>
        </w:rPr>
      </w:pPr>
      <w:hyperlink r:id="rId18" w:history="1">
        <w:proofErr w:type="spellStart"/>
        <w:r w:rsidRPr="00D635ED">
          <w:rPr>
            <w:rStyle w:val="Hyperlink"/>
            <w:b/>
            <w:color w:val="auto"/>
            <w:sz w:val="24"/>
            <w:szCs w:val="24"/>
          </w:rPr>
          <w:t>www.genossenschaftswelt.de</w:t>
        </w:r>
        <w:proofErr w:type="spellEnd"/>
      </w:hyperlink>
    </w:p>
    <w:p w:rsidR="006D618F" w:rsidRPr="00D635ED" w:rsidRDefault="006D618F" w:rsidP="00020948">
      <w:pPr>
        <w:jc w:val="center"/>
        <w:rPr>
          <w:b/>
          <w:sz w:val="24"/>
          <w:szCs w:val="24"/>
        </w:rPr>
      </w:pPr>
    </w:p>
    <w:p w:rsidR="006D618F" w:rsidRDefault="006D618F" w:rsidP="00D635ED">
      <w:pPr>
        <w:jc w:val="center"/>
        <w:rPr>
          <w:rStyle w:val="Hyperlink"/>
          <w:b/>
          <w:color w:val="auto"/>
          <w:sz w:val="24"/>
          <w:szCs w:val="24"/>
        </w:rPr>
      </w:pPr>
      <w:hyperlink r:id="rId19" w:history="1">
        <w:proofErr w:type="spellStart"/>
        <w:r w:rsidRPr="00D635ED">
          <w:rPr>
            <w:rStyle w:val="Hyperlink"/>
            <w:b/>
            <w:color w:val="auto"/>
            <w:sz w:val="24"/>
            <w:szCs w:val="24"/>
          </w:rPr>
          <w:t>www.foerderauftrag.de</w:t>
        </w:r>
        <w:proofErr w:type="spellEnd"/>
      </w:hyperlink>
    </w:p>
    <w:p w:rsidR="006D618F" w:rsidRPr="00D635ED" w:rsidRDefault="006D618F" w:rsidP="00D635ED">
      <w:pPr>
        <w:jc w:val="center"/>
        <w:rPr>
          <w:b/>
          <w:sz w:val="24"/>
          <w:szCs w:val="24"/>
        </w:rPr>
      </w:pPr>
    </w:p>
    <w:p w:rsidR="006D618F" w:rsidRDefault="006D618F" w:rsidP="00D635ED">
      <w:pPr>
        <w:jc w:val="center"/>
        <w:rPr>
          <w:rStyle w:val="Hyperlink"/>
          <w:b/>
          <w:color w:val="auto"/>
          <w:sz w:val="24"/>
          <w:szCs w:val="24"/>
        </w:rPr>
      </w:pPr>
      <w:hyperlink r:id="rId20" w:history="1">
        <w:r w:rsidRPr="00D635ED">
          <w:rPr>
            <w:rStyle w:val="Hyperlink"/>
            <w:b/>
            <w:color w:val="auto"/>
            <w:sz w:val="24"/>
            <w:szCs w:val="24"/>
          </w:rPr>
          <w:t>www.wegfrei.de</w:t>
        </w:r>
      </w:hyperlink>
    </w:p>
    <w:p w:rsidR="006D618F" w:rsidRPr="00D635ED" w:rsidRDefault="006D618F" w:rsidP="00D635ED">
      <w:pPr>
        <w:jc w:val="center"/>
        <w:rPr>
          <w:b/>
          <w:sz w:val="24"/>
          <w:szCs w:val="24"/>
        </w:rPr>
      </w:pPr>
    </w:p>
    <w:p w:rsidR="006D618F" w:rsidRDefault="006D618F" w:rsidP="00D635ED">
      <w:pPr>
        <w:jc w:val="center"/>
        <w:rPr>
          <w:rStyle w:val="Hyperlink"/>
          <w:b/>
          <w:color w:val="auto"/>
          <w:sz w:val="24"/>
          <w:szCs w:val="24"/>
        </w:rPr>
      </w:pPr>
      <w:hyperlink r:id="rId21" w:history="1">
        <w:r w:rsidRPr="00D635ED">
          <w:rPr>
            <w:rStyle w:val="Hyperlink"/>
            <w:b/>
            <w:color w:val="auto"/>
            <w:sz w:val="24"/>
            <w:szCs w:val="24"/>
          </w:rPr>
          <w:t>www.fusion-raiffeisenbank.de/</w:t>
        </w:r>
      </w:hyperlink>
    </w:p>
    <w:p w:rsidR="006D618F" w:rsidRPr="00D635ED" w:rsidRDefault="006D618F" w:rsidP="00D635ED">
      <w:pPr>
        <w:jc w:val="center"/>
        <w:rPr>
          <w:b/>
          <w:sz w:val="24"/>
          <w:szCs w:val="24"/>
        </w:rPr>
      </w:pPr>
    </w:p>
    <w:p w:rsidR="006D618F" w:rsidRPr="00D635ED" w:rsidRDefault="006D618F" w:rsidP="00D635ED">
      <w:pPr>
        <w:jc w:val="center"/>
        <w:rPr>
          <w:b/>
          <w:sz w:val="28"/>
          <w:szCs w:val="28"/>
        </w:rPr>
      </w:pPr>
      <w:hyperlink r:id="rId22" w:history="1">
        <w:proofErr w:type="spellStart"/>
        <w:r w:rsidRPr="00D635ED">
          <w:rPr>
            <w:rStyle w:val="Hyperlink"/>
            <w:b/>
            <w:color w:val="auto"/>
            <w:sz w:val="24"/>
            <w:szCs w:val="24"/>
          </w:rPr>
          <w:t>www.AG</w:t>
        </w:r>
        <w:proofErr w:type="spellEnd"/>
        <w:r w:rsidRPr="00D635ED">
          <w:rPr>
            <w:rStyle w:val="Hyperlink"/>
            <w:b/>
            <w:color w:val="auto"/>
            <w:sz w:val="24"/>
            <w:szCs w:val="24"/>
          </w:rPr>
          <w:t>-statt-</w:t>
        </w:r>
        <w:proofErr w:type="spellStart"/>
        <w:r w:rsidRPr="00D635ED">
          <w:rPr>
            <w:rStyle w:val="Hyperlink"/>
            <w:b/>
            <w:color w:val="auto"/>
            <w:sz w:val="24"/>
            <w:szCs w:val="24"/>
          </w:rPr>
          <w:t>eG.de</w:t>
        </w:r>
        <w:proofErr w:type="spellEnd"/>
      </w:hyperlink>
    </w:p>
    <w:p w:rsidR="006D618F" w:rsidRDefault="006D618F">
      <w:pPr>
        <w:spacing w:after="200"/>
        <w:jc w:val="left"/>
        <w:sectPr w:rsidR="006D618F" w:rsidSect="0066375C">
          <w:footerReference w:type="default" r:id="rId23"/>
          <w:pgSz w:w="8732" w:h="12247" w:code="300"/>
          <w:pgMar w:top="794" w:right="624" w:bottom="851" w:left="624" w:header="567" w:footer="567" w:gutter="0"/>
          <w:pgNumType w:start="1"/>
          <w:cols w:space="708"/>
          <w:docGrid w:linePitch="360"/>
        </w:sectPr>
      </w:pPr>
    </w:p>
    <w:p w:rsidR="006D618F" w:rsidRDefault="006D618F">
      <w:pPr>
        <w:spacing w:after="200"/>
        <w:jc w:val="left"/>
      </w:pPr>
      <w:r>
        <w:rPr>
          <w:noProof/>
          <w:color w:val="F2F2F2" w:themeColor="background1" w:themeShade="F2"/>
          <w:sz w:val="28"/>
          <w:szCs w:val="28"/>
          <w:lang w:eastAsia="de-DE"/>
        </w:rPr>
        <w:lastRenderedPageBreak/>
        <w:drawing>
          <wp:anchor distT="0" distB="0" distL="114300" distR="114300" simplePos="0" relativeHeight="251663360" behindDoc="1" locked="0" layoutInCell="1" allowOverlap="1" wp14:anchorId="090982A8" wp14:editId="07582599">
            <wp:simplePos x="0" y="0"/>
            <wp:positionH relativeFrom="column">
              <wp:posOffset>-607060</wp:posOffset>
            </wp:positionH>
            <wp:positionV relativeFrom="paragraph">
              <wp:posOffset>-585470</wp:posOffset>
            </wp:positionV>
            <wp:extent cx="6760210" cy="7995285"/>
            <wp:effectExtent l="0" t="0" r="2540" b="5715"/>
            <wp:wrapNone/>
            <wp:docPr id="13" name="Grafi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mschlag AG.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6760210" cy="7995285"/>
                    </a:xfrm>
                    <a:prstGeom prst="rect">
                      <a:avLst/>
                    </a:prstGeom>
                  </pic:spPr>
                </pic:pic>
              </a:graphicData>
            </a:graphic>
            <wp14:sizeRelH relativeFrom="margin">
              <wp14:pctWidth>0</wp14:pctWidth>
            </wp14:sizeRelH>
            <wp14:sizeRelV relativeFrom="margin">
              <wp14:pctHeight>0</wp14:pctHeight>
            </wp14:sizeRelV>
          </wp:anchor>
        </w:drawing>
      </w:r>
    </w:p>
    <w:p w:rsidR="006D618F" w:rsidRPr="007C0623" w:rsidRDefault="006D618F" w:rsidP="00097C30">
      <w:pPr>
        <w:spacing w:after="200"/>
        <w:jc w:val="left"/>
      </w:pPr>
      <w:r w:rsidRPr="00702C72">
        <w:rPr>
          <w:rFonts w:asciiTheme="minorHAnsi" w:eastAsiaTheme="minorHAnsi" w:hAnsiTheme="minorHAnsi"/>
          <w:b/>
          <w:noProof/>
          <w:color w:val="FFC000"/>
          <w:sz w:val="22"/>
          <w:szCs w:val="20"/>
          <w:lang w:eastAsia="de-DE"/>
        </w:rPr>
        <mc:AlternateContent>
          <mc:Choice Requires="wps">
            <w:drawing>
              <wp:anchor distT="0" distB="0" distL="114300" distR="114300" simplePos="0" relativeHeight="251664384" behindDoc="0" locked="0" layoutInCell="1" allowOverlap="1" wp14:anchorId="1EA5C992" wp14:editId="7D2B75EE">
                <wp:simplePos x="0" y="0"/>
                <wp:positionH relativeFrom="column">
                  <wp:posOffset>-61920</wp:posOffset>
                </wp:positionH>
                <wp:positionV relativeFrom="paragraph">
                  <wp:posOffset>157702</wp:posOffset>
                </wp:positionV>
                <wp:extent cx="4411980" cy="3105150"/>
                <wp:effectExtent l="0" t="0" r="0" b="444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3105150"/>
                        </a:xfrm>
                        <a:prstGeom prst="rect">
                          <a:avLst/>
                        </a:prstGeom>
                        <a:noFill/>
                        <a:ln w="9525">
                          <a:noFill/>
                          <a:miter lim="800000"/>
                          <a:headEnd/>
                          <a:tailEnd/>
                        </a:ln>
                      </wps:spPr>
                      <wps:txbx>
                        <w:txbxContent>
                          <w:p w:rsidR="006D618F" w:rsidRPr="008D4AB2" w:rsidRDefault="006D618F" w:rsidP="00702C72">
                            <w:pPr>
                              <w:rPr>
                                <w:color w:val="FFFFFF" w:themeColor="background1"/>
                                <w:sz w:val="24"/>
                                <w:szCs w:val="24"/>
                              </w:rPr>
                            </w:pPr>
                            <w:r w:rsidRPr="008D4AB2">
                              <w:rPr>
                                <w:color w:val="FFFFFF" w:themeColor="background1"/>
                                <w:sz w:val="24"/>
                                <w:szCs w:val="24"/>
                              </w:rPr>
                              <w:t>Jedes Jahr verschwinden ca. 30 - 50 Volks- oder Raif</w:t>
                            </w:r>
                            <w:r w:rsidRPr="008D4AB2">
                              <w:rPr>
                                <w:color w:val="FFFFFF" w:themeColor="background1"/>
                                <w:sz w:val="24"/>
                                <w:szCs w:val="24"/>
                              </w:rPr>
                              <w:t>f</w:t>
                            </w:r>
                            <w:r w:rsidRPr="008D4AB2">
                              <w:rPr>
                                <w:color w:val="FFFFFF" w:themeColor="background1"/>
                                <w:sz w:val="24"/>
                                <w:szCs w:val="24"/>
                              </w:rPr>
                              <w:t>eisenbanken. Sie übertragen im Weg der Verschme</w:t>
                            </w:r>
                            <w:r w:rsidRPr="008D4AB2">
                              <w:rPr>
                                <w:color w:val="FFFFFF" w:themeColor="background1"/>
                                <w:sz w:val="24"/>
                                <w:szCs w:val="24"/>
                              </w:rPr>
                              <w:t>l</w:t>
                            </w:r>
                            <w:r w:rsidRPr="008D4AB2">
                              <w:rPr>
                                <w:color w:val="FFFFFF" w:themeColor="background1"/>
                                <w:sz w:val="24"/>
                                <w:szCs w:val="24"/>
                              </w:rPr>
                              <w:t>zung (Fusion) ihr gesamtes Vermögen nebst Bankg</w:t>
                            </w:r>
                            <w:r w:rsidRPr="008D4AB2">
                              <w:rPr>
                                <w:color w:val="FFFFFF" w:themeColor="background1"/>
                                <w:sz w:val="24"/>
                                <w:szCs w:val="24"/>
                              </w:rPr>
                              <w:t>e</w:t>
                            </w:r>
                            <w:r w:rsidRPr="008D4AB2">
                              <w:rPr>
                                <w:color w:val="FFFFFF" w:themeColor="background1"/>
                                <w:sz w:val="24"/>
                                <w:szCs w:val="24"/>
                              </w:rPr>
                              <w:t>schäft und Mitglieder an eine andere Genosse</w:t>
                            </w:r>
                            <w:r w:rsidRPr="008D4AB2">
                              <w:rPr>
                                <w:color w:val="FFFFFF" w:themeColor="background1"/>
                                <w:sz w:val="24"/>
                                <w:szCs w:val="24"/>
                              </w:rPr>
                              <w:t>n</w:t>
                            </w:r>
                            <w:r w:rsidRPr="008D4AB2">
                              <w:rPr>
                                <w:color w:val="FFFFFF" w:themeColor="background1"/>
                                <w:sz w:val="24"/>
                                <w:szCs w:val="24"/>
                              </w:rPr>
                              <w:t>schaftsbank. Sie beenden damit - oft nach mehr als 100 Jahren des Bestehens - ihre eigene Existenz. Aber ist das wirklich notwendig. Muss eine Volks- oder Rai</w:t>
                            </w:r>
                            <w:r w:rsidRPr="008D4AB2">
                              <w:rPr>
                                <w:color w:val="FFFFFF" w:themeColor="background1"/>
                                <w:sz w:val="24"/>
                                <w:szCs w:val="24"/>
                              </w:rPr>
                              <w:t>f</w:t>
                            </w:r>
                            <w:r w:rsidRPr="008D4AB2">
                              <w:rPr>
                                <w:color w:val="FFFFFF" w:themeColor="background1"/>
                                <w:sz w:val="24"/>
                                <w:szCs w:val="24"/>
                              </w:rPr>
                              <w:t>feisenbank, die nachweislich beste Gewinne erzielt, wirklich fusionieren?</w:t>
                            </w:r>
                          </w:p>
                          <w:p w:rsidR="006D618F" w:rsidRPr="008D4AB2" w:rsidRDefault="006D618F" w:rsidP="00702C72">
                            <w:pPr>
                              <w:rPr>
                                <w:color w:val="FFFFFF" w:themeColor="background1"/>
                                <w:sz w:val="24"/>
                                <w:szCs w:val="24"/>
                              </w:rPr>
                            </w:pPr>
                            <w:r w:rsidRPr="008D4AB2">
                              <w:rPr>
                                <w:color w:val="FFFFFF" w:themeColor="background1"/>
                                <w:sz w:val="24"/>
                                <w:szCs w:val="24"/>
                              </w:rPr>
                              <w:t>Die Leidtragenden sind die vielen Mitglieder (Eigent</w:t>
                            </w:r>
                            <w:r w:rsidRPr="008D4AB2">
                              <w:rPr>
                                <w:color w:val="FFFFFF" w:themeColor="background1"/>
                                <w:sz w:val="24"/>
                                <w:szCs w:val="24"/>
                              </w:rPr>
                              <w:t>ü</w:t>
                            </w:r>
                            <w:r w:rsidRPr="008D4AB2">
                              <w:rPr>
                                <w:color w:val="FFFFFF" w:themeColor="background1"/>
                                <w:sz w:val="24"/>
                                <w:szCs w:val="24"/>
                              </w:rPr>
                              <w:t>mer) dieser Banken, denen mit einer Fusion, das g</w:t>
                            </w:r>
                            <w:r w:rsidRPr="008D4AB2">
                              <w:rPr>
                                <w:color w:val="FFFFFF" w:themeColor="background1"/>
                                <w:sz w:val="24"/>
                                <w:szCs w:val="24"/>
                              </w:rPr>
                              <w:t>e</w:t>
                            </w:r>
                            <w:r w:rsidRPr="008D4AB2">
                              <w:rPr>
                                <w:color w:val="FFFFFF" w:themeColor="background1"/>
                                <w:sz w:val="24"/>
                                <w:szCs w:val="24"/>
                              </w:rPr>
                              <w:t>samte bisher angesammelte Vermögen ihrer Volks- und Raiffeisenbank weggenommen und in andere, fremde Hände transferiert wird.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9pt;margin-top:12.4pt;width:347.4pt;height:24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" filled="f" stroked="f">
                <v:textbox style="mso-fit-shape-to-text:t">
                  <w:txbxContent>
                    <w:p w:rsidR="006D618F" w:rsidRPr="008D4AB2" w:rsidRDefault="006D618F" w:rsidP="00702C72">
                      <w:pPr>
                        <w:rPr>
                          <w:color w:val="FFFFFF" w:themeColor="background1"/>
                          <w:sz w:val="24"/>
                          <w:szCs w:val="24"/>
                        </w:rPr>
                      </w:pPr>
                      <w:r w:rsidRPr="008D4AB2">
                        <w:rPr>
                          <w:color w:val="FFFFFF" w:themeColor="background1"/>
                          <w:sz w:val="24"/>
                          <w:szCs w:val="24"/>
                        </w:rPr>
                        <w:t>Jedes Jahr verschwinden ca. 30 - 50 Volks- oder Raif</w:t>
                      </w:r>
                      <w:r w:rsidRPr="008D4AB2">
                        <w:rPr>
                          <w:color w:val="FFFFFF" w:themeColor="background1"/>
                          <w:sz w:val="24"/>
                          <w:szCs w:val="24"/>
                        </w:rPr>
                        <w:t>f</w:t>
                      </w:r>
                      <w:r w:rsidRPr="008D4AB2">
                        <w:rPr>
                          <w:color w:val="FFFFFF" w:themeColor="background1"/>
                          <w:sz w:val="24"/>
                          <w:szCs w:val="24"/>
                        </w:rPr>
                        <w:t>eisenbanken. Sie übertragen im Weg der Verschme</w:t>
                      </w:r>
                      <w:r w:rsidRPr="008D4AB2">
                        <w:rPr>
                          <w:color w:val="FFFFFF" w:themeColor="background1"/>
                          <w:sz w:val="24"/>
                          <w:szCs w:val="24"/>
                        </w:rPr>
                        <w:t>l</w:t>
                      </w:r>
                      <w:r w:rsidRPr="008D4AB2">
                        <w:rPr>
                          <w:color w:val="FFFFFF" w:themeColor="background1"/>
                          <w:sz w:val="24"/>
                          <w:szCs w:val="24"/>
                        </w:rPr>
                        <w:t>zung (Fusion) ihr gesamtes Vermögen nebst Bankg</w:t>
                      </w:r>
                      <w:r w:rsidRPr="008D4AB2">
                        <w:rPr>
                          <w:color w:val="FFFFFF" w:themeColor="background1"/>
                          <w:sz w:val="24"/>
                          <w:szCs w:val="24"/>
                        </w:rPr>
                        <w:t>e</w:t>
                      </w:r>
                      <w:r w:rsidRPr="008D4AB2">
                        <w:rPr>
                          <w:color w:val="FFFFFF" w:themeColor="background1"/>
                          <w:sz w:val="24"/>
                          <w:szCs w:val="24"/>
                        </w:rPr>
                        <w:t>schäft und Mitglieder an eine andere Genosse</w:t>
                      </w:r>
                      <w:r w:rsidRPr="008D4AB2">
                        <w:rPr>
                          <w:color w:val="FFFFFF" w:themeColor="background1"/>
                          <w:sz w:val="24"/>
                          <w:szCs w:val="24"/>
                        </w:rPr>
                        <w:t>n</w:t>
                      </w:r>
                      <w:r w:rsidRPr="008D4AB2">
                        <w:rPr>
                          <w:color w:val="FFFFFF" w:themeColor="background1"/>
                          <w:sz w:val="24"/>
                          <w:szCs w:val="24"/>
                        </w:rPr>
                        <w:t>schaftsbank. Sie beenden damit - oft nach mehr als 100 Jahren des Bestehens - ihre eigene Existenz. Aber ist das wirklich notwendig. Muss eine Volks- oder Rai</w:t>
                      </w:r>
                      <w:r w:rsidRPr="008D4AB2">
                        <w:rPr>
                          <w:color w:val="FFFFFF" w:themeColor="background1"/>
                          <w:sz w:val="24"/>
                          <w:szCs w:val="24"/>
                        </w:rPr>
                        <w:t>f</w:t>
                      </w:r>
                      <w:r w:rsidRPr="008D4AB2">
                        <w:rPr>
                          <w:color w:val="FFFFFF" w:themeColor="background1"/>
                          <w:sz w:val="24"/>
                          <w:szCs w:val="24"/>
                        </w:rPr>
                        <w:t>feisenbank, die nachweislich beste Gewinne erzielt, wirklich fusionieren?</w:t>
                      </w:r>
                    </w:p>
                    <w:p w:rsidR="006D618F" w:rsidRPr="008D4AB2" w:rsidRDefault="006D618F" w:rsidP="00702C72">
                      <w:pPr>
                        <w:rPr>
                          <w:color w:val="FFFFFF" w:themeColor="background1"/>
                          <w:sz w:val="24"/>
                          <w:szCs w:val="24"/>
                        </w:rPr>
                      </w:pPr>
                      <w:r w:rsidRPr="008D4AB2">
                        <w:rPr>
                          <w:color w:val="FFFFFF" w:themeColor="background1"/>
                          <w:sz w:val="24"/>
                          <w:szCs w:val="24"/>
                        </w:rPr>
                        <w:t>Die Leidtragenden sind die vielen Mitglieder (Eigent</w:t>
                      </w:r>
                      <w:r w:rsidRPr="008D4AB2">
                        <w:rPr>
                          <w:color w:val="FFFFFF" w:themeColor="background1"/>
                          <w:sz w:val="24"/>
                          <w:szCs w:val="24"/>
                        </w:rPr>
                        <w:t>ü</w:t>
                      </w:r>
                      <w:r w:rsidRPr="008D4AB2">
                        <w:rPr>
                          <w:color w:val="FFFFFF" w:themeColor="background1"/>
                          <w:sz w:val="24"/>
                          <w:szCs w:val="24"/>
                        </w:rPr>
                        <w:t>mer) dieser Banken, denen mit einer Fusion, das g</w:t>
                      </w:r>
                      <w:r w:rsidRPr="008D4AB2">
                        <w:rPr>
                          <w:color w:val="FFFFFF" w:themeColor="background1"/>
                          <w:sz w:val="24"/>
                          <w:szCs w:val="24"/>
                        </w:rPr>
                        <w:t>e</w:t>
                      </w:r>
                      <w:r w:rsidRPr="008D4AB2">
                        <w:rPr>
                          <w:color w:val="FFFFFF" w:themeColor="background1"/>
                          <w:sz w:val="24"/>
                          <w:szCs w:val="24"/>
                        </w:rPr>
                        <w:t>samte bisher angesammelte Vermögen ihrer Volks- und Raiffeisenbank weggenommen und in andere, fremde Hände transferiert wird.</w:t>
                      </w:r>
                    </w:p>
                  </w:txbxContent>
                </v:textbox>
              </v:shape>
            </w:pict>
          </mc:Fallback>
        </mc:AlternateContent>
      </w:r>
    </w:p>
    <w:p w:rsidR="006D618F" w:rsidRDefault="006D618F" w:rsidP="005B4BE2">
      <w:pPr>
        <w:jc w:val="center"/>
      </w:pPr>
    </w:p>
    <w:p w:rsidR="006D618F" w:rsidRDefault="006D618F" w:rsidP="005B4BE2">
      <w:pPr>
        <w:jc w:val="center"/>
      </w:pPr>
    </w:p>
    <w:p w:rsidR="006D618F" w:rsidRDefault="006D618F" w:rsidP="00097C30">
      <w:pPr>
        <w:sectPr w:rsidR="006D618F" w:rsidSect="002023D8">
          <w:footerReference w:type="default" r:id="rId24"/>
          <w:pgSz w:w="8732" w:h="12247" w:code="300"/>
          <w:pgMar w:top="851" w:right="624" w:bottom="851" w:left="680" w:header="567" w:footer="567" w:gutter="0"/>
          <w:pgNumType w:start="1"/>
          <w:cols w:space="708"/>
          <w:docGrid w:linePitch="360"/>
        </w:sectPr>
      </w:pPr>
    </w:p>
    <w:p w:rsidR="006D618F" w:rsidRDefault="006D618F" w:rsidP="00097C30">
      <w:pPr>
        <w:sectPr w:rsidR="006D618F" w:rsidSect="002023D8">
          <w:footerReference w:type="default" r:id="rId25"/>
          <w:type w:val="continuous"/>
          <w:pgSz w:w="8732" w:h="12247" w:code="300"/>
          <w:pgMar w:top="851" w:right="624" w:bottom="851" w:left="680" w:header="567" w:footer="567" w:gutter="0"/>
          <w:pgNumType w:start="1"/>
          <w:cols w:space="708"/>
          <w:docGrid w:linePitch="360"/>
        </w:sectPr>
      </w:pPr>
    </w:p>
    <w:p w:rsidR="006D618F" w:rsidRDefault="006D618F" w:rsidP="00097C30">
      <w:pPr>
        <w:sectPr w:rsidR="006D618F" w:rsidSect="002023D8">
          <w:footerReference w:type="default" r:id="rId26"/>
          <w:type w:val="continuous"/>
          <w:pgSz w:w="8732" w:h="12247" w:code="300"/>
          <w:pgMar w:top="851" w:right="624" w:bottom="851" w:left="680" w:header="567" w:footer="567" w:gutter="0"/>
          <w:pgNumType w:start="1"/>
          <w:cols w:space="708"/>
          <w:docGrid w:linePitch="360"/>
        </w:sectPr>
      </w:pPr>
    </w:p>
    <w:p w:rsidR="006D618F" w:rsidRDefault="006D618F" w:rsidP="00097C30">
      <w:pPr>
        <w:sectPr w:rsidR="006D618F" w:rsidSect="002023D8">
          <w:footerReference w:type="default" r:id="rId27"/>
          <w:type w:val="continuous"/>
          <w:pgSz w:w="8732" w:h="12247" w:code="300"/>
          <w:pgMar w:top="851" w:right="624" w:bottom="851" w:left="680" w:header="567" w:footer="567" w:gutter="0"/>
          <w:pgNumType w:start="1"/>
          <w:cols w:space="708"/>
          <w:docGrid w:linePitch="360"/>
        </w:sectPr>
      </w:pPr>
    </w:p>
    <w:p w:rsidR="006D618F" w:rsidRDefault="006D618F" w:rsidP="00097C30"/>
    <w:sectPr w:rsidR="006D618F" w:rsidSect="006D618F">
      <w:footerReference w:type="default" r:id="rId28"/>
      <w:type w:val="continuous"/>
      <w:pgSz w:w="8732" w:h="12247" w:code="300"/>
      <w:pgMar w:top="851" w:right="624" w:bottom="851" w:left="68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177" w:rsidRDefault="00680177" w:rsidP="005A00FB">
      <w:pPr>
        <w:spacing w:after="0" w:line="240" w:lineRule="auto"/>
      </w:pPr>
      <w:r>
        <w:separator/>
      </w:r>
    </w:p>
  </w:endnote>
  <w:endnote w:type="continuationSeparator" w:id="0">
    <w:p w:rsidR="00680177" w:rsidRDefault="00680177" w:rsidP="005A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8F" w:rsidRDefault="006D618F" w:rsidP="00DE36FB">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8F" w:rsidRDefault="006D618F" w:rsidP="00DE36FB">
    <w:pPr>
      <w:pStyle w:val="Fuzeile"/>
      <w:jc w:val="center"/>
    </w:pPr>
    <w:r>
      <w:fldChar w:fldCharType="begin"/>
    </w:r>
    <w:r>
      <w:instrText>PAGE   \* MERGEFORMAT</w:instrText>
    </w:r>
    <w:r>
      <w:fldChar w:fldCharType="separate"/>
    </w:r>
    <w:r w:rsidR="00177126">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8F" w:rsidRDefault="006D618F" w:rsidP="00DE36FB">
    <w:pPr>
      <w:pStyle w:val="Fuzeil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8F" w:rsidRDefault="006D618F" w:rsidP="00DE36FB">
    <w:pPr>
      <w:pStyle w:val="Fuzeil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8F" w:rsidRDefault="006D618F" w:rsidP="00DE36FB">
    <w:pPr>
      <w:pStyle w:val="Fuzeil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8F" w:rsidRDefault="006D618F" w:rsidP="00DE36FB">
    <w:pPr>
      <w:pStyle w:val="Fuzeil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47" w:rsidRDefault="00820447" w:rsidP="00DE36F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177" w:rsidRPr="002A087F" w:rsidRDefault="00680177" w:rsidP="005A00FB">
      <w:pPr>
        <w:spacing w:after="0" w:line="240" w:lineRule="auto"/>
        <w:rPr>
          <w:sz w:val="6"/>
          <w:szCs w:val="6"/>
        </w:rPr>
      </w:pPr>
      <w:r w:rsidRPr="002A087F">
        <w:rPr>
          <w:sz w:val="6"/>
          <w:szCs w:val="6"/>
        </w:rPr>
        <w:separator/>
      </w:r>
    </w:p>
  </w:footnote>
  <w:footnote w:type="continuationSeparator" w:id="0">
    <w:p w:rsidR="00680177" w:rsidRDefault="00680177" w:rsidP="005A00FB">
      <w:pPr>
        <w:spacing w:after="0" w:line="240" w:lineRule="auto"/>
      </w:pPr>
      <w:r>
        <w:continuationSeparator/>
      </w:r>
    </w:p>
  </w:footnote>
  <w:footnote w:id="1">
    <w:p w:rsidR="006D618F" w:rsidRPr="009229FA" w:rsidRDefault="006D618F" w:rsidP="00ED7EA8">
      <w:pPr>
        <w:pStyle w:val="Funotentext"/>
        <w:rPr>
          <w:rStyle w:val="FunotentextZchn"/>
        </w:rPr>
      </w:pPr>
      <w:r>
        <w:rPr>
          <w:rStyle w:val="Funotenzeichen"/>
        </w:rPr>
        <w:footnoteRef/>
      </w:r>
      <w:r>
        <w:t xml:space="preserve"> </w:t>
      </w:r>
      <w:r w:rsidRPr="00ED7EA8">
        <w:rPr>
          <w:rStyle w:val="FunotentextZchn"/>
          <w:sz w:val="16"/>
          <w:szCs w:val="16"/>
        </w:rPr>
        <w:t>BGH II ZR 198/00 vom 9. September 2002</w:t>
      </w:r>
    </w:p>
  </w:footnote>
  <w:footnote w:id="2">
    <w:p w:rsidR="006D618F" w:rsidRDefault="006D618F">
      <w:pPr>
        <w:pStyle w:val="Funotentext"/>
      </w:pPr>
      <w:r w:rsidRPr="00265DC3">
        <w:rPr>
          <w:rStyle w:val="Funotenzeichen"/>
          <w:color w:val="auto"/>
        </w:rPr>
        <w:footnoteRef/>
      </w:r>
      <w:r>
        <w:t xml:space="preserve"> </w:t>
      </w:r>
      <w:r w:rsidRPr="00E41419">
        <w:rPr>
          <w:sz w:val="16"/>
          <w:szCs w:val="16"/>
        </w:rPr>
        <w:t>Bundestags-Drucksache 13/8808 v. 22.10.1997 S</w:t>
      </w:r>
      <w:r>
        <w:rPr>
          <w:sz w:val="16"/>
          <w:szCs w:val="16"/>
        </w:rPr>
        <w:t>.1</w:t>
      </w:r>
      <w:r w:rsidRPr="00E41419">
        <w:rPr>
          <w:sz w:val="16"/>
          <w:szCs w:val="16"/>
        </w:rPr>
        <w:t>3</w:t>
      </w:r>
    </w:p>
  </w:footnote>
  <w:footnote w:id="3">
    <w:p w:rsidR="006D618F" w:rsidRDefault="006D618F" w:rsidP="006215F7">
      <w:pPr>
        <w:pStyle w:val="Funotentext"/>
      </w:pPr>
      <w:r w:rsidRPr="00E816CF">
        <w:rPr>
          <w:rStyle w:val="Funotenzeichen"/>
          <w:color w:val="auto"/>
        </w:rPr>
        <w:footnoteRef/>
      </w:r>
      <w:r>
        <w:t xml:space="preserve"> </w:t>
      </w:r>
      <w:r w:rsidRPr="001E68C3">
        <w:rPr>
          <w:sz w:val="16"/>
          <w:szCs w:val="16"/>
        </w:rPr>
        <w:t>Bauer, Heinrich,</w:t>
      </w:r>
      <w:r>
        <w:t xml:space="preserve"> </w:t>
      </w:r>
      <w:r w:rsidRPr="001E68C3">
        <w:rPr>
          <w:sz w:val="16"/>
          <w:szCs w:val="16"/>
        </w:rPr>
        <w:t>Genossenschaft-H</w:t>
      </w:r>
      <w:r>
        <w:rPr>
          <w:sz w:val="16"/>
          <w:szCs w:val="16"/>
        </w:rPr>
        <w:t>andb</w:t>
      </w:r>
      <w:r w:rsidRPr="001E68C3">
        <w:rPr>
          <w:sz w:val="16"/>
          <w:szCs w:val="16"/>
        </w:rPr>
        <w:t>uch</w:t>
      </w:r>
      <w:r>
        <w:rPr>
          <w:sz w:val="16"/>
          <w:szCs w:val="16"/>
        </w:rPr>
        <w:t>, Kommentar, Erich Schmidt Verlag, Berlin 2015.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852"/>
    <w:multiLevelType w:val="hybridMultilevel"/>
    <w:tmpl w:val="B5C4A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5D706A"/>
    <w:multiLevelType w:val="hybridMultilevel"/>
    <w:tmpl w:val="C8A29D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9D0431"/>
    <w:multiLevelType w:val="hybridMultilevel"/>
    <w:tmpl w:val="F63CE2A0"/>
    <w:lvl w:ilvl="0" w:tplc="5A1E9D80">
      <w:start w:val="1"/>
      <w:numFmt w:val="bullet"/>
      <w:lvlText w:val="-"/>
      <w:lvlJc w:val="left"/>
      <w:pPr>
        <w:ind w:left="1069" w:hanging="360"/>
      </w:pPr>
      <w:rPr>
        <w:rFonts w:ascii="Verdana" w:hAnsi="Verdana"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nsid w:val="0EB56DA5"/>
    <w:multiLevelType w:val="hybridMultilevel"/>
    <w:tmpl w:val="EB2481F0"/>
    <w:lvl w:ilvl="0" w:tplc="4B544768">
      <w:start w:val="1"/>
      <w:numFmt w:val="lowerLetter"/>
      <w:lvlText w:val="%1)"/>
      <w:lvlJc w:val="left"/>
      <w:pPr>
        <w:ind w:left="720" w:hanging="360"/>
      </w:pPr>
      <w:rPr>
        <w:rFonts w:ascii="Verdana" w:hAnsi="Verdan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625D92"/>
    <w:multiLevelType w:val="hybridMultilevel"/>
    <w:tmpl w:val="DA9C43FE"/>
    <w:lvl w:ilvl="0" w:tplc="0407000F">
      <w:start w:val="1"/>
      <w:numFmt w:val="decimal"/>
      <w:lvlText w:val="%1."/>
      <w:lvlJc w:val="left"/>
      <w:pPr>
        <w:ind w:left="365" w:hanging="360"/>
      </w:pPr>
    </w:lvl>
    <w:lvl w:ilvl="1" w:tplc="04070019">
      <w:start w:val="1"/>
      <w:numFmt w:val="lowerLetter"/>
      <w:lvlText w:val="%2."/>
      <w:lvlJc w:val="left"/>
      <w:pPr>
        <w:ind w:left="1085" w:hanging="360"/>
      </w:pPr>
    </w:lvl>
    <w:lvl w:ilvl="2" w:tplc="0407001B" w:tentative="1">
      <w:start w:val="1"/>
      <w:numFmt w:val="lowerRoman"/>
      <w:lvlText w:val="%3."/>
      <w:lvlJc w:val="right"/>
      <w:pPr>
        <w:ind w:left="1805" w:hanging="180"/>
      </w:pPr>
    </w:lvl>
    <w:lvl w:ilvl="3" w:tplc="0407000F" w:tentative="1">
      <w:start w:val="1"/>
      <w:numFmt w:val="decimal"/>
      <w:lvlText w:val="%4."/>
      <w:lvlJc w:val="left"/>
      <w:pPr>
        <w:ind w:left="2525" w:hanging="360"/>
      </w:pPr>
    </w:lvl>
    <w:lvl w:ilvl="4" w:tplc="04070019" w:tentative="1">
      <w:start w:val="1"/>
      <w:numFmt w:val="lowerLetter"/>
      <w:lvlText w:val="%5."/>
      <w:lvlJc w:val="left"/>
      <w:pPr>
        <w:ind w:left="3245" w:hanging="360"/>
      </w:pPr>
    </w:lvl>
    <w:lvl w:ilvl="5" w:tplc="0407001B" w:tentative="1">
      <w:start w:val="1"/>
      <w:numFmt w:val="lowerRoman"/>
      <w:lvlText w:val="%6."/>
      <w:lvlJc w:val="right"/>
      <w:pPr>
        <w:ind w:left="3965" w:hanging="180"/>
      </w:pPr>
    </w:lvl>
    <w:lvl w:ilvl="6" w:tplc="0407000F" w:tentative="1">
      <w:start w:val="1"/>
      <w:numFmt w:val="decimal"/>
      <w:lvlText w:val="%7."/>
      <w:lvlJc w:val="left"/>
      <w:pPr>
        <w:ind w:left="4685" w:hanging="360"/>
      </w:pPr>
    </w:lvl>
    <w:lvl w:ilvl="7" w:tplc="04070019" w:tentative="1">
      <w:start w:val="1"/>
      <w:numFmt w:val="lowerLetter"/>
      <w:lvlText w:val="%8."/>
      <w:lvlJc w:val="left"/>
      <w:pPr>
        <w:ind w:left="5405" w:hanging="360"/>
      </w:pPr>
    </w:lvl>
    <w:lvl w:ilvl="8" w:tplc="0407001B" w:tentative="1">
      <w:start w:val="1"/>
      <w:numFmt w:val="lowerRoman"/>
      <w:lvlText w:val="%9."/>
      <w:lvlJc w:val="right"/>
      <w:pPr>
        <w:ind w:left="6125" w:hanging="180"/>
      </w:pPr>
    </w:lvl>
  </w:abstractNum>
  <w:abstractNum w:abstractNumId="5">
    <w:nsid w:val="14CA37C8"/>
    <w:multiLevelType w:val="hybridMultilevel"/>
    <w:tmpl w:val="64BCF9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63E06E6"/>
    <w:multiLevelType w:val="hybridMultilevel"/>
    <w:tmpl w:val="AC687E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F2911E6"/>
    <w:multiLevelType w:val="hybridMultilevel"/>
    <w:tmpl w:val="D8805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172837"/>
    <w:multiLevelType w:val="hybridMultilevel"/>
    <w:tmpl w:val="0606681A"/>
    <w:lvl w:ilvl="0" w:tplc="0407000F">
      <w:start w:val="1"/>
      <w:numFmt w:val="decimal"/>
      <w:lvlText w:val="%1."/>
      <w:lvlJc w:val="left"/>
      <w:pPr>
        <w:ind w:left="725" w:hanging="360"/>
      </w:pPr>
    </w:lvl>
    <w:lvl w:ilvl="1" w:tplc="04070019" w:tentative="1">
      <w:start w:val="1"/>
      <w:numFmt w:val="lowerLetter"/>
      <w:lvlText w:val="%2."/>
      <w:lvlJc w:val="left"/>
      <w:pPr>
        <w:ind w:left="1445" w:hanging="360"/>
      </w:pPr>
    </w:lvl>
    <w:lvl w:ilvl="2" w:tplc="0407001B" w:tentative="1">
      <w:start w:val="1"/>
      <w:numFmt w:val="lowerRoman"/>
      <w:lvlText w:val="%3."/>
      <w:lvlJc w:val="right"/>
      <w:pPr>
        <w:ind w:left="2165" w:hanging="180"/>
      </w:pPr>
    </w:lvl>
    <w:lvl w:ilvl="3" w:tplc="0407000F" w:tentative="1">
      <w:start w:val="1"/>
      <w:numFmt w:val="decimal"/>
      <w:lvlText w:val="%4."/>
      <w:lvlJc w:val="left"/>
      <w:pPr>
        <w:ind w:left="2885" w:hanging="360"/>
      </w:pPr>
    </w:lvl>
    <w:lvl w:ilvl="4" w:tplc="04070019" w:tentative="1">
      <w:start w:val="1"/>
      <w:numFmt w:val="lowerLetter"/>
      <w:lvlText w:val="%5."/>
      <w:lvlJc w:val="left"/>
      <w:pPr>
        <w:ind w:left="3605" w:hanging="360"/>
      </w:pPr>
    </w:lvl>
    <w:lvl w:ilvl="5" w:tplc="0407001B" w:tentative="1">
      <w:start w:val="1"/>
      <w:numFmt w:val="lowerRoman"/>
      <w:lvlText w:val="%6."/>
      <w:lvlJc w:val="right"/>
      <w:pPr>
        <w:ind w:left="4325" w:hanging="180"/>
      </w:pPr>
    </w:lvl>
    <w:lvl w:ilvl="6" w:tplc="0407000F" w:tentative="1">
      <w:start w:val="1"/>
      <w:numFmt w:val="decimal"/>
      <w:lvlText w:val="%7."/>
      <w:lvlJc w:val="left"/>
      <w:pPr>
        <w:ind w:left="5045" w:hanging="360"/>
      </w:pPr>
    </w:lvl>
    <w:lvl w:ilvl="7" w:tplc="04070019" w:tentative="1">
      <w:start w:val="1"/>
      <w:numFmt w:val="lowerLetter"/>
      <w:lvlText w:val="%8."/>
      <w:lvlJc w:val="left"/>
      <w:pPr>
        <w:ind w:left="5765" w:hanging="360"/>
      </w:pPr>
    </w:lvl>
    <w:lvl w:ilvl="8" w:tplc="0407001B" w:tentative="1">
      <w:start w:val="1"/>
      <w:numFmt w:val="lowerRoman"/>
      <w:lvlText w:val="%9."/>
      <w:lvlJc w:val="right"/>
      <w:pPr>
        <w:ind w:left="6485" w:hanging="180"/>
      </w:pPr>
    </w:lvl>
  </w:abstractNum>
  <w:abstractNum w:abstractNumId="9">
    <w:nsid w:val="22B7705E"/>
    <w:multiLevelType w:val="hybridMultilevel"/>
    <w:tmpl w:val="64BCF9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35B0911"/>
    <w:multiLevelType w:val="hybridMultilevel"/>
    <w:tmpl w:val="D722B8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0720F73"/>
    <w:multiLevelType w:val="hybridMultilevel"/>
    <w:tmpl w:val="C636AF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52B19B0"/>
    <w:multiLevelType w:val="hybridMultilevel"/>
    <w:tmpl w:val="3A50758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4D6E9E"/>
    <w:multiLevelType w:val="hybridMultilevel"/>
    <w:tmpl w:val="B9E6219E"/>
    <w:lvl w:ilvl="0" w:tplc="E41A5E8C">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E336510"/>
    <w:multiLevelType w:val="hybridMultilevel"/>
    <w:tmpl w:val="64BCF9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5FA59FC"/>
    <w:multiLevelType w:val="hybridMultilevel"/>
    <w:tmpl w:val="D722B8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61974D4"/>
    <w:multiLevelType w:val="hybridMultilevel"/>
    <w:tmpl w:val="6D20E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6B3101A"/>
    <w:multiLevelType w:val="hybridMultilevel"/>
    <w:tmpl w:val="B286705E"/>
    <w:lvl w:ilvl="0" w:tplc="E41A5E8C">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77C1798"/>
    <w:multiLevelType w:val="hybridMultilevel"/>
    <w:tmpl w:val="AB100E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5"/>
  </w:num>
  <w:num w:numId="3">
    <w:abstractNumId w:val="1"/>
  </w:num>
  <w:num w:numId="4">
    <w:abstractNumId w:val="14"/>
  </w:num>
  <w:num w:numId="5">
    <w:abstractNumId w:val="9"/>
  </w:num>
  <w:num w:numId="6">
    <w:abstractNumId w:val="4"/>
  </w:num>
  <w:num w:numId="7">
    <w:abstractNumId w:val="6"/>
  </w:num>
  <w:num w:numId="8">
    <w:abstractNumId w:val="2"/>
  </w:num>
  <w:num w:numId="9">
    <w:abstractNumId w:val="8"/>
  </w:num>
  <w:num w:numId="10">
    <w:abstractNumId w:val="7"/>
  </w:num>
  <w:num w:numId="11">
    <w:abstractNumId w:val="15"/>
  </w:num>
  <w:num w:numId="12">
    <w:abstractNumId w:val="11"/>
  </w:num>
  <w:num w:numId="13">
    <w:abstractNumId w:val="10"/>
  </w:num>
  <w:num w:numId="14">
    <w:abstractNumId w:val="12"/>
  </w:num>
  <w:num w:numId="15">
    <w:abstractNumId w:val="13"/>
  </w:num>
  <w:num w:numId="16">
    <w:abstractNumId w:val="0"/>
  </w:num>
  <w:num w:numId="17">
    <w:abstractNumId w:val="1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5"/>
    <w:rsid w:val="0000714E"/>
    <w:rsid w:val="0001544B"/>
    <w:rsid w:val="00015880"/>
    <w:rsid w:val="00020948"/>
    <w:rsid w:val="00022215"/>
    <w:rsid w:val="00024FD0"/>
    <w:rsid w:val="00027C5C"/>
    <w:rsid w:val="000323CA"/>
    <w:rsid w:val="00033245"/>
    <w:rsid w:val="00034BD7"/>
    <w:rsid w:val="0003648E"/>
    <w:rsid w:val="000368DC"/>
    <w:rsid w:val="0004120F"/>
    <w:rsid w:val="0004388C"/>
    <w:rsid w:val="00043EB6"/>
    <w:rsid w:val="00050807"/>
    <w:rsid w:val="0005203D"/>
    <w:rsid w:val="00052DBB"/>
    <w:rsid w:val="00053670"/>
    <w:rsid w:val="000541E2"/>
    <w:rsid w:val="00054877"/>
    <w:rsid w:val="0005538B"/>
    <w:rsid w:val="00057ECD"/>
    <w:rsid w:val="00060B77"/>
    <w:rsid w:val="000625EF"/>
    <w:rsid w:val="00062DC2"/>
    <w:rsid w:val="00072756"/>
    <w:rsid w:val="000801BC"/>
    <w:rsid w:val="00080A46"/>
    <w:rsid w:val="0008112C"/>
    <w:rsid w:val="00081A48"/>
    <w:rsid w:val="00081B98"/>
    <w:rsid w:val="00085959"/>
    <w:rsid w:val="0008751D"/>
    <w:rsid w:val="000875A3"/>
    <w:rsid w:val="000903D2"/>
    <w:rsid w:val="000909B2"/>
    <w:rsid w:val="00090C10"/>
    <w:rsid w:val="00092453"/>
    <w:rsid w:val="00092828"/>
    <w:rsid w:val="00095582"/>
    <w:rsid w:val="00097C30"/>
    <w:rsid w:val="000A3E39"/>
    <w:rsid w:val="000A741F"/>
    <w:rsid w:val="000A7AE3"/>
    <w:rsid w:val="000B0DB6"/>
    <w:rsid w:val="000B17FE"/>
    <w:rsid w:val="000B3249"/>
    <w:rsid w:val="000C02A8"/>
    <w:rsid w:val="000C1164"/>
    <w:rsid w:val="000C2763"/>
    <w:rsid w:val="000C50F0"/>
    <w:rsid w:val="000C7AA8"/>
    <w:rsid w:val="000D3DF6"/>
    <w:rsid w:val="000D7D5F"/>
    <w:rsid w:val="000E2A0D"/>
    <w:rsid w:val="000E3123"/>
    <w:rsid w:val="000E5B7B"/>
    <w:rsid w:val="000F178F"/>
    <w:rsid w:val="000F23CE"/>
    <w:rsid w:val="000F3962"/>
    <w:rsid w:val="000F68F5"/>
    <w:rsid w:val="001008B4"/>
    <w:rsid w:val="00102305"/>
    <w:rsid w:val="0010752D"/>
    <w:rsid w:val="001079C9"/>
    <w:rsid w:val="00111BB0"/>
    <w:rsid w:val="00112EAC"/>
    <w:rsid w:val="00115BB6"/>
    <w:rsid w:val="0012187A"/>
    <w:rsid w:val="001220DD"/>
    <w:rsid w:val="00126F7C"/>
    <w:rsid w:val="00131EDA"/>
    <w:rsid w:val="00134231"/>
    <w:rsid w:val="00135CD4"/>
    <w:rsid w:val="00137051"/>
    <w:rsid w:val="00141442"/>
    <w:rsid w:val="001415AF"/>
    <w:rsid w:val="0014614F"/>
    <w:rsid w:val="00157A6F"/>
    <w:rsid w:val="001650A2"/>
    <w:rsid w:val="00173181"/>
    <w:rsid w:val="00177083"/>
    <w:rsid w:val="00177126"/>
    <w:rsid w:val="001816D2"/>
    <w:rsid w:val="001829C3"/>
    <w:rsid w:val="00193A79"/>
    <w:rsid w:val="001960EC"/>
    <w:rsid w:val="00197085"/>
    <w:rsid w:val="00197D64"/>
    <w:rsid w:val="001A2B66"/>
    <w:rsid w:val="001A4D56"/>
    <w:rsid w:val="001A6A06"/>
    <w:rsid w:val="001B549C"/>
    <w:rsid w:val="001C1ECA"/>
    <w:rsid w:val="001C4175"/>
    <w:rsid w:val="001D0E12"/>
    <w:rsid w:val="001D1178"/>
    <w:rsid w:val="001D14DD"/>
    <w:rsid w:val="001D1B09"/>
    <w:rsid w:val="001D3932"/>
    <w:rsid w:val="001D3C20"/>
    <w:rsid w:val="001D3FB0"/>
    <w:rsid w:val="001D3FDE"/>
    <w:rsid w:val="001D4EB9"/>
    <w:rsid w:val="001E4425"/>
    <w:rsid w:val="001E6D10"/>
    <w:rsid w:val="001F1101"/>
    <w:rsid w:val="001F3AE5"/>
    <w:rsid w:val="001F3B91"/>
    <w:rsid w:val="002023D8"/>
    <w:rsid w:val="002059C8"/>
    <w:rsid w:val="00212B11"/>
    <w:rsid w:val="002171CF"/>
    <w:rsid w:val="00217E9B"/>
    <w:rsid w:val="0022772A"/>
    <w:rsid w:val="002340C9"/>
    <w:rsid w:val="0023548C"/>
    <w:rsid w:val="00237ED4"/>
    <w:rsid w:val="00240647"/>
    <w:rsid w:val="002416A6"/>
    <w:rsid w:val="002427B9"/>
    <w:rsid w:val="00245CA5"/>
    <w:rsid w:val="00245DC5"/>
    <w:rsid w:val="00250754"/>
    <w:rsid w:val="002538D9"/>
    <w:rsid w:val="002544C5"/>
    <w:rsid w:val="002565C7"/>
    <w:rsid w:val="0026249F"/>
    <w:rsid w:val="00265936"/>
    <w:rsid w:val="00265DC3"/>
    <w:rsid w:val="00265DFB"/>
    <w:rsid w:val="002731C2"/>
    <w:rsid w:val="00273E76"/>
    <w:rsid w:val="00274013"/>
    <w:rsid w:val="00284FAE"/>
    <w:rsid w:val="002947AC"/>
    <w:rsid w:val="002A087F"/>
    <w:rsid w:val="002A0E40"/>
    <w:rsid w:val="002A253B"/>
    <w:rsid w:val="002A2CFC"/>
    <w:rsid w:val="002A32AE"/>
    <w:rsid w:val="002A6B2A"/>
    <w:rsid w:val="002B21D1"/>
    <w:rsid w:val="002C1658"/>
    <w:rsid w:val="002C247E"/>
    <w:rsid w:val="002D6EA2"/>
    <w:rsid w:val="002E1983"/>
    <w:rsid w:val="002E2FB6"/>
    <w:rsid w:val="002E401E"/>
    <w:rsid w:val="002E6965"/>
    <w:rsid w:val="002E7688"/>
    <w:rsid w:val="002F0DAC"/>
    <w:rsid w:val="002F0EC8"/>
    <w:rsid w:val="002F4349"/>
    <w:rsid w:val="002F4561"/>
    <w:rsid w:val="002F5921"/>
    <w:rsid w:val="002F5BD2"/>
    <w:rsid w:val="002F6AAB"/>
    <w:rsid w:val="002F7E16"/>
    <w:rsid w:val="003012AE"/>
    <w:rsid w:val="003014C1"/>
    <w:rsid w:val="003034B9"/>
    <w:rsid w:val="00307BB6"/>
    <w:rsid w:val="00311D05"/>
    <w:rsid w:val="00312117"/>
    <w:rsid w:val="00313196"/>
    <w:rsid w:val="003135F9"/>
    <w:rsid w:val="00313C54"/>
    <w:rsid w:val="00324E3C"/>
    <w:rsid w:val="003344A6"/>
    <w:rsid w:val="0033563C"/>
    <w:rsid w:val="003402FC"/>
    <w:rsid w:val="00340CED"/>
    <w:rsid w:val="00342FCB"/>
    <w:rsid w:val="00344C4A"/>
    <w:rsid w:val="00346577"/>
    <w:rsid w:val="00354210"/>
    <w:rsid w:val="00355827"/>
    <w:rsid w:val="003572CF"/>
    <w:rsid w:val="00360849"/>
    <w:rsid w:val="00361D26"/>
    <w:rsid w:val="0036287B"/>
    <w:rsid w:val="0036507B"/>
    <w:rsid w:val="0037714C"/>
    <w:rsid w:val="0038104E"/>
    <w:rsid w:val="00387C8C"/>
    <w:rsid w:val="003957EB"/>
    <w:rsid w:val="003A12C1"/>
    <w:rsid w:val="003A1798"/>
    <w:rsid w:val="003A3D53"/>
    <w:rsid w:val="003B00F9"/>
    <w:rsid w:val="003B1093"/>
    <w:rsid w:val="003B2588"/>
    <w:rsid w:val="003C1027"/>
    <w:rsid w:val="003C22EF"/>
    <w:rsid w:val="003C3B51"/>
    <w:rsid w:val="003C5119"/>
    <w:rsid w:val="003C73D0"/>
    <w:rsid w:val="003D20CD"/>
    <w:rsid w:val="003D6674"/>
    <w:rsid w:val="003D6D56"/>
    <w:rsid w:val="003E30FB"/>
    <w:rsid w:val="003E3627"/>
    <w:rsid w:val="003E4654"/>
    <w:rsid w:val="003E65A2"/>
    <w:rsid w:val="0040007F"/>
    <w:rsid w:val="0040306B"/>
    <w:rsid w:val="004041E4"/>
    <w:rsid w:val="004146F6"/>
    <w:rsid w:val="004201BD"/>
    <w:rsid w:val="00420484"/>
    <w:rsid w:val="00420A29"/>
    <w:rsid w:val="004245A1"/>
    <w:rsid w:val="00424E92"/>
    <w:rsid w:val="00425382"/>
    <w:rsid w:val="004317C9"/>
    <w:rsid w:val="004362D1"/>
    <w:rsid w:val="0044066D"/>
    <w:rsid w:val="0044359D"/>
    <w:rsid w:val="0044371F"/>
    <w:rsid w:val="0044380F"/>
    <w:rsid w:val="00444941"/>
    <w:rsid w:val="00452FA6"/>
    <w:rsid w:val="00453D4B"/>
    <w:rsid w:val="004563B6"/>
    <w:rsid w:val="00457558"/>
    <w:rsid w:val="004601D6"/>
    <w:rsid w:val="0046366C"/>
    <w:rsid w:val="004653AD"/>
    <w:rsid w:val="0046684F"/>
    <w:rsid w:val="00470511"/>
    <w:rsid w:val="004715EE"/>
    <w:rsid w:val="00473E1C"/>
    <w:rsid w:val="00474B5C"/>
    <w:rsid w:val="00480C13"/>
    <w:rsid w:val="00481C7D"/>
    <w:rsid w:val="0048481D"/>
    <w:rsid w:val="00490642"/>
    <w:rsid w:val="00491A99"/>
    <w:rsid w:val="0049457F"/>
    <w:rsid w:val="00495EEF"/>
    <w:rsid w:val="004962F3"/>
    <w:rsid w:val="004A1B9C"/>
    <w:rsid w:val="004A3607"/>
    <w:rsid w:val="004A5A19"/>
    <w:rsid w:val="004B3B23"/>
    <w:rsid w:val="004C129E"/>
    <w:rsid w:val="004C163D"/>
    <w:rsid w:val="004C35EF"/>
    <w:rsid w:val="004C5076"/>
    <w:rsid w:val="004C5866"/>
    <w:rsid w:val="004D40AA"/>
    <w:rsid w:val="004E4325"/>
    <w:rsid w:val="004E5216"/>
    <w:rsid w:val="004E76A5"/>
    <w:rsid w:val="004E7947"/>
    <w:rsid w:val="004F0973"/>
    <w:rsid w:val="004F15A3"/>
    <w:rsid w:val="004F66F5"/>
    <w:rsid w:val="004F7338"/>
    <w:rsid w:val="00503345"/>
    <w:rsid w:val="00510FE3"/>
    <w:rsid w:val="00513AAD"/>
    <w:rsid w:val="00513CA1"/>
    <w:rsid w:val="00514AFA"/>
    <w:rsid w:val="00515309"/>
    <w:rsid w:val="00515535"/>
    <w:rsid w:val="005232D3"/>
    <w:rsid w:val="0052489A"/>
    <w:rsid w:val="0052774C"/>
    <w:rsid w:val="00527C21"/>
    <w:rsid w:val="00527CE6"/>
    <w:rsid w:val="00530E22"/>
    <w:rsid w:val="00532134"/>
    <w:rsid w:val="00533621"/>
    <w:rsid w:val="00535701"/>
    <w:rsid w:val="00544936"/>
    <w:rsid w:val="00547F31"/>
    <w:rsid w:val="00552BF8"/>
    <w:rsid w:val="00555CD8"/>
    <w:rsid w:val="0055759C"/>
    <w:rsid w:val="00561DCE"/>
    <w:rsid w:val="0056301A"/>
    <w:rsid w:val="00572FD9"/>
    <w:rsid w:val="00573EB1"/>
    <w:rsid w:val="005753DC"/>
    <w:rsid w:val="00575569"/>
    <w:rsid w:val="005756EC"/>
    <w:rsid w:val="00575FB9"/>
    <w:rsid w:val="00580270"/>
    <w:rsid w:val="0058127F"/>
    <w:rsid w:val="005823B2"/>
    <w:rsid w:val="00582557"/>
    <w:rsid w:val="0059146A"/>
    <w:rsid w:val="005A00FB"/>
    <w:rsid w:val="005A0A18"/>
    <w:rsid w:val="005A4148"/>
    <w:rsid w:val="005A4E0A"/>
    <w:rsid w:val="005A5CF7"/>
    <w:rsid w:val="005B01D0"/>
    <w:rsid w:val="005B2859"/>
    <w:rsid w:val="005B448B"/>
    <w:rsid w:val="005B4BE2"/>
    <w:rsid w:val="005B5FEB"/>
    <w:rsid w:val="005B6750"/>
    <w:rsid w:val="005C107D"/>
    <w:rsid w:val="005C3E59"/>
    <w:rsid w:val="005C43C8"/>
    <w:rsid w:val="005C5584"/>
    <w:rsid w:val="005C6DD4"/>
    <w:rsid w:val="005C72AA"/>
    <w:rsid w:val="005D5F86"/>
    <w:rsid w:val="005E0090"/>
    <w:rsid w:val="005E209C"/>
    <w:rsid w:val="005E3329"/>
    <w:rsid w:val="005F21DD"/>
    <w:rsid w:val="005F5AAC"/>
    <w:rsid w:val="005F7559"/>
    <w:rsid w:val="00602135"/>
    <w:rsid w:val="006038F5"/>
    <w:rsid w:val="00605A83"/>
    <w:rsid w:val="00614BCD"/>
    <w:rsid w:val="00615531"/>
    <w:rsid w:val="0061574D"/>
    <w:rsid w:val="006162F2"/>
    <w:rsid w:val="006215F7"/>
    <w:rsid w:val="006311E0"/>
    <w:rsid w:val="006312DC"/>
    <w:rsid w:val="00641E63"/>
    <w:rsid w:val="006447F8"/>
    <w:rsid w:val="00644F35"/>
    <w:rsid w:val="00651B67"/>
    <w:rsid w:val="00653BF6"/>
    <w:rsid w:val="0066226F"/>
    <w:rsid w:val="0066375C"/>
    <w:rsid w:val="00664F77"/>
    <w:rsid w:val="006707B3"/>
    <w:rsid w:val="00675EBB"/>
    <w:rsid w:val="00676F42"/>
    <w:rsid w:val="00677A4A"/>
    <w:rsid w:val="00680177"/>
    <w:rsid w:val="006810D3"/>
    <w:rsid w:val="00683D99"/>
    <w:rsid w:val="006914CF"/>
    <w:rsid w:val="00691F85"/>
    <w:rsid w:val="00693C66"/>
    <w:rsid w:val="006966A1"/>
    <w:rsid w:val="006A3EB1"/>
    <w:rsid w:val="006A63A4"/>
    <w:rsid w:val="006A6E02"/>
    <w:rsid w:val="006B6F02"/>
    <w:rsid w:val="006C222B"/>
    <w:rsid w:val="006C6455"/>
    <w:rsid w:val="006D3E8D"/>
    <w:rsid w:val="006D55E4"/>
    <w:rsid w:val="006D618F"/>
    <w:rsid w:val="00701565"/>
    <w:rsid w:val="00702C72"/>
    <w:rsid w:val="00711AFC"/>
    <w:rsid w:val="0071376A"/>
    <w:rsid w:val="0071542C"/>
    <w:rsid w:val="00717EB8"/>
    <w:rsid w:val="007318ED"/>
    <w:rsid w:val="007339F5"/>
    <w:rsid w:val="007362BE"/>
    <w:rsid w:val="007377C8"/>
    <w:rsid w:val="00737FB0"/>
    <w:rsid w:val="007413DE"/>
    <w:rsid w:val="007435B3"/>
    <w:rsid w:val="00743A64"/>
    <w:rsid w:val="007563F3"/>
    <w:rsid w:val="00762387"/>
    <w:rsid w:val="00766534"/>
    <w:rsid w:val="00770447"/>
    <w:rsid w:val="00771EFE"/>
    <w:rsid w:val="00775115"/>
    <w:rsid w:val="00780234"/>
    <w:rsid w:val="00780BD0"/>
    <w:rsid w:val="00780EF1"/>
    <w:rsid w:val="00781EA0"/>
    <w:rsid w:val="00784990"/>
    <w:rsid w:val="007917EA"/>
    <w:rsid w:val="007954B6"/>
    <w:rsid w:val="00795646"/>
    <w:rsid w:val="007A6221"/>
    <w:rsid w:val="007B10AD"/>
    <w:rsid w:val="007B6E60"/>
    <w:rsid w:val="007B7CF8"/>
    <w:rsid w:val="007C0623"/>
    <w:rsid w:val="007C332A"/>
    <w:rsid w:val="007C3B89"/>
    <w:rsid w:val="007C576B"/>
    <w:rsid w:val="007C5BF2"/>
    <w:rsid w:val="007C5EB1"/>
    <w:rsid w:val="007C5F86"/>
    <w:rsid w:val="007D03C7"/>
    <w:rsid w:val="007D135D"/>
    <w:rsid w:val="007E1EBF"/>
    <w:rsid w:val="007E1F29"/>
    <w:rsid w:val="007E21FE"/>
    <w:rsid w:val="007E3830"/>
    <w:rsid w:val="007E48BD"/>
    <w:rsid w:val="007E6E14"/>
    <w:rsid w:val="007E7134"/>
    <w:rsid w:val="007F4124"/>
    <w:rsid w:val="007F6E53"/>
    <w:rsid w:val="007F75DD"/>
    <w:rsid w:val="00800958"/>
    <w:rsid w:val="0080233A"/>
    <w:rsid w:val="00810892"/>
    <w:rsid w:val="00812AD8"/>
    <w:rsid w:val="00820447"/>
    <w:rsid w:val="00823228"/>
    <w:rsid w:val="00825DA5"/>
    <w:rsid w:val="00831B0E"/>
    <w:rsid w:val="00835E90"/>
    <w:rsid w:val="00836E00"/>
    <w:rsid w:val="00840CAB"/>
    <w:rsid w:val="00841B54"/>
    <w:rsid w:val="00843964"/>
    <w:rsid w:val="00855914"/>
    <w:rsid w:val="00860F01"/>
    <w:rsid w:val="008643D7"/>
    <w:rsid w:val="008673BD"/>
    <w:rsid w:val="008702AA"/>
    <w:rsid w:val="00871542"/>
    <w:rsid w:val="008715D3"/>
    <w:rsid w:val="00873C03"/>
    <w:rsid w:val="00884848"/>
    <w:rsid w:val="00884A64"/>
    <w:rsid w:val="008911E0"/>
    <w:rsid w:val="008952F4"/>
    <w:rsid w:val="008A68AB"/>
    <w:rsid w:val="008A790A"/>
    <w:rsid w:val="008B0A40"/>
    <w:rsid w:val="008D4AB2"/>
    <w:rsid w:val="008D7371"/>
    <w:rsid w:val="008D78A2"/>
    <w:rsid w:val="008E0101"/>
    <w:rsid w:val="008E2F0D"/>
    <w:rsid w:val="008E6111"/>
    <w:rsid w:val="008F098F"/>
    <w:rsid w:val="008F7398"/>
    <w:rsid w:val="00900C1F"/>
    <w:rsid w:val="00903923"/>
    <w:rsid w:val="0091487E"/>
    <w:rsid w:val="00914AC1"/>
    <w:rsid w:val="00917F8C"/>
    <w:rsid w:val="00924774"/>
    <w:rsid w:val="009253DE"/>
    <w:rsid w:val="00925C70"/>
    <w:rsid w:val="009319C2"/>
    <w:rsid w:val="00934387"/>
    <w:rsid w:val="00936C19"/>
    <w:rsid w:val="00937003"/>
    <w:rsid w:val="00937783"/>
    <w:rsid w:val="00947826"/>
    <w:rsid w:val="00952D4E"/>
    <w:rsid w:val="00953637"/>
    <w:rsid w:val="00955479"/>
    <w:rsid w:val="0095705E"/>
    <w:rsid w:val="00957E4B"/>
    <w:rsid w:val="00961D8F"/>
    <w:rsid w:val="009630F7"/>
    <w:rsid w:val="009637EF"/>
    <w:rsid w:val="00965DCB"/>
    <w:rsid w:val="00971CF1"/>
    <w:rsid w:val="0097301F"/>
    <w:rsid w:val="00973D13"/>
    <w:rsid w:val="00974739"/>
    <w:rsid w:val="00982A11"/>
    <w:rsid w:val="00983BCB"/>
    <w:rsid w:val="009845F2"/>
    <w:rsid w:val="009961E8"/>
    <w:rsid w:val="009973A9"/>
    <w:rsid w:val="0099754F"/>
    <w:rsid w:val="00997BB7"/>
    <w:rsid w:val="00997C61"/>
    <w:rsid w:val="009A2565"/>
    <w:rsid w:val="009A3824"/>
    <w:rsid w:val="009A3F3D"/>
    <w:rsid w:val="009A6953"/>
    <w:rsid w:val="009A6AB1"/>
    <w:rsid w:val="009B1FDF"/>
    <w:rsid w:val="009B3E39"/>
    <w:rsid w:val="009D1339"/>
    <w:rsid w:val="009D2CDC"/>
    <w:rsid w:val="009D4652"/>
    <w:rsid w:val="009D6595"/>
    <w:rsid w:val="009D67A2"/>
    <w:rsid w:val="009E32A1"/>
    <w:rsid w:val="009E353D"/>
    <w:rsid w:val="009E3786"/>
    <w:rsid w:val="009E4938"/>
    <w:rsid w:val="009F0429"/>
    <w:rsid w:val="009F2FD9"/>
    <w:rsid w:val="009F5413"/>
    <w:rsid w:val="00A03FC1"/>
    <w:rsid w:val="00A066CB"/>
    <w:rsid w:val="00A07A59"/>
    <w:rsid w:val="00A07E26"/>
    <w:rsid w:val="00A10FDE"/>
    <w:rsid w:val="00A2372E"/>
    <w:rsid w:val="00A279DA"/>
    <w:rsid w:val="00A31D5C"/>
    <w:rsid w:val="00A35E60"/>
    <w:rsid w:val="00A40563"/>
    <w:rsid w:val="00A4074B"/>
    <w:rsid w:val="00A40CD9"/>
    <w:rsid w:val="00A41E56"/>
    <w:rsid w:val="00A42DEF"/>
    <w:rsid w:val="00A445FD"/>
    <w:rsid w:val="00A46DE5"/>
    <w:rsid w:val="00A50950"/>
    <w:rsid w:val="00A51514"/>
    <w:rsid w:val="00A534DF"/>
    <w:rsid w:val="00A57AF7"/>
    <w:rsid w:val="00A6071D"/>
    <w:rsid w:val="00A64656"/>
    <w:rsid w:val="00A65EC8"/>
    <w:rsid w:val="00A67CE7"/>
    <w:rsid w:val="00A70187"/>
    <w:rsid w:val="00A7796D"/>
    <w:rsid w:val="00A77B4F"/>
    <w:rsid w:val="00A80096"/>
    <w:rsid w:val="00A81066"/>
    <w:rsid w:val="00A83DC5"/>
    <w:rsid w:val="00A83F7E"/>
    <w:rsid w:val="00A85C50"/>
    <w:rsid w:val="00A92929"/>
    <w:rsid w:val="00A94791"/>
    <w:rsid w:val="00AA04F0"/>
    <w:rsid w:val="00AA5F2C"/>
    <w:rsid w:val="00AB136D"/>
    <w:rsid w:val="00AB2362"/>
    <w:rsid w:val="00AB3F77"/>
    <w:rsid w:val="00AB500A"/>
    <w:rsid w:val="00AB50B8"/>
    <w:rsid w:val="00AB7DD8"/>
    <w:rsid w:val="00AB7EC1"/>
    <w:rsid w:val="00AC143F"/>
    <w:rsid w:val="00AC4BEA"/>
    <w:rsid w:val="00AC5C59"/>
    <w:rsid w:val="00AC7455"/>
    <w:rsid w:val="00AD5447"/>
    <w:rsid w:val="00AD7A35"/>
    <w:rsid w:val="00AD7D26"/>
    <w:rsid w:val="00AE1A30"/>
    <w:rsid w:val="00AE2AB6"/>
    <w:rsid w:val="00AE4B3E"/>
    <w:rsid w:val="00AF5C37"/>
    <w:rsid w:val="00AF5FE2"/>
    <w:rsid w:val="00AF76B8"/>
    <w:rsid w:val="00B008B6"/>
    <w:rsid w:val="00B03919"/>
    <w:rsid w:val="00B05547"/>
    <w:rsid w:val="00B1770D"/>
    <w:rsid w:val="00B20055"/>
    <w:rsid w:val="00B20737"/>
    <w:rsid w:val="00B30E09"/>
    <w:rsid w:val="00B335E6"/>
    <w:rsid w:val="00B35028"/>
    <w:rsid w:val="00B354B3"/>
    <w:rsid w:val="00B50438"/>
    <w:rsid w:val="00B72E11"/>
    <w:rsid w:val="00B76191"/>
    <w:rsid w:val="00B7658B"/>
    <w:rsid w:val="00B76CBE"/>
    <w:rsid w:val="00B775B7"/>
    <w:rsid w:val="00B77E64"/>
    <w:rsid w:val="00B80893"/>
    <w:rsid w:val="00B84C0A"/>
    <w:rsid w:val="00B873CA"/>
    <w:rsid w:val="00B959CE"/>
    <w:rsid w:val="00B9601A"/>
    <w:rsid w:val="00B97867"/>
    <w:rsid w:val="00B97C9D"/>
    <w:rsid w:val="00BA0A97"/>
    <w:rsid w:val="00BA5ED9"/>
    <w:rsid w:val="00BB34B5"/>
    <w:rsid w:val="00BC0634"/>
    <w:rsid w:val="00BC28AE"/>
    <w:rsid w:val="00BC3F10"/>
    <w:rsid w:val="00BC5493"/>
    <w:rsid w:val="00BC631D"/>
    <w:rsid w:val="00BC7806"/>
    <w:rsid w:val="00BD2986"/>
    <w:rsid w:val="00BD2DBE"/>
    <w:rsid w:val="00BD48DA"/>
    <w:rsid w:val="00BE33DB"/>
    <w:rsid w:val="00BE6D55"/>
    <w:rsid w:val="00BF572A"/>
    <w:rsid w:val="00C02192"/>
    <w:rsid w:val="00C02A79"/>
    <w:rsid w:val="00C15307"/>
    <w:rsid w:val="00C15B2C"/>
    <w:rsid w:val="00C15F6C"/>
    <w:rsid w:val="00C175B5"/>
    <w:rsid w:val="00C22D52"/>
    <w:rsid w:val="00C23E97"/>
    <w:rsid w:val="00C240BB"/>
    <w:rsid w:val="00C276AA"/>
    <w:rsid w:val="00C27D2C"/>
    <w:rsid w:val="00C300D5"/>
    <w:rsid w:val="00C30998"/>
    <w:rsid w:val="00C33AF3"/>
    <w:rsid w:val="00C36496"/>
    <w:rsid w:val="00C4692A"/>
    <w:rsid w:val="00C47A29"/>
    <w:rsid w:val="00C56C23"/>
    <w:rsid w:val="00C81DE7"/>
    <w:rsid w:val="00C91FD2"/>
    <w:rsid w:val="00C927DE"/>
    <w:rsid w:val="00C9406F"/>
    <w:rsid w:val="00CA16A4"/>
    <w:rsid w:val="00CA79B0"/>
    <w:rsid w:val="00CC1A52"/>
    <w:rsid w:val="00CC218F"/>
    <w:rsid w:val="00CC21B7"/>
    <w:rsid w:val="00CC24CE"/>
    <w:rsid w:val="00CC6AB7"/>
    <w:rsid w:val="00CD62F8"/>
    <w:rsid w:val="00CD776D"/>
    <w:rsid w:val="00CD7A03"/>
    <w:rsid w:val="00CF4EEB"/>
    <w:rsid w:val="00CF6213"/>
    <w:rsid w:val="00D05916"/>
    <w:rsid w:val="00D15557"/>
    <w:rsid w:val="00D21643"/>
    <w:rsid w:val="00D275A9"/>
    <w:rsid w:val="00D27AA6"/>
    <w:rsid w:val="00D27D16"/>
    <w:rsid w:val="00D30927"/>
    <w:rsid w:val="00D3225E"/>
    <w:rsid w:val="00D364CB"/>
    <w:rsid w:val="00D368F8"/>
    <w:rsid w:val="00D42044"/>
    <w:rsid w:val="00D457E1"/>
    <w:rsid w:val="00D46907"/>
    <w:rsid w:val="00D46BB5"/>
    <w:rsid w:val="00D51B12"/>
    <w:rsid w:val="00D52640"/>
    <w:rsid w:val="00D52C1F"/>
    <w:rsid w:val="00D60CD1"/>
    <w:rsid w:val="00D61D8A"/>
    <w:rsid w:val="00D6245E"/>
    <w:rsid w:val="00D635ED"/>
    <w:rsid w:val="00D63BEF"/>
    <w:rsid w:val="00D70041"/>
    <w:rsid w:val="00D70363"/>
    <w:rsid w:val="00D74565"/>
    <w:rsid w:val="00D749A8"/>
    <w:rsid w:val="00D759AB"/>
    <w:rsid w:val="00D7721B"/>
    <w:rsid w:val="00D82AD5"/>
    <w:rsid w:val="00D841BA"/>
    <w:rsid w:val="00D87108"/>
    <w:rsid w:val="00D87A50"/>
    <w:rsid w:val="00D938D1"/>
    <w:rsid w:val="00D9687B"/>
    <w:rsid w:val="00D976B4"/>
    <w:rsid w:val="00DA40CF"/>
    <w:rsid w:val="00DB301D"/>
    <w:rsid w:val="00DB3DE5"/>
    <w:rsid w:val="00DC250F"/>
    <w:rsid w:val="00DC2F25"/>
    <w:rsid w:val="00DC4350"/>
    <w:rsid w:val="00DC5B55"/>
    <w:rsid w:val="00DC7409"/>
    <w:rsid w:val="00DD1609"/>
    <w:rsid w:val="00DD3933"/>
    <w:rsid w:val="00DD4BDA"/>
    <w:rsid w:val="00DD68D9"/>
    <w:rsid w:val="00DE0F30"/>
    <w:rsid w:val="00DE36FB"/>
    <w:rsid w:val="00DE42A7"/>
    <w:rsid w:val="00DE6E55"/>
    <w:rsid w:val="00DF1DEF"/>
    <w:rsid w:val="00DF522E"/>
    <w:rsid w:val="00E03D04"/>
    <w:rsid w:val="00E03E3C"/>
    <w:rsid w:val="00E06D40"/>
    <w:rsid w:val="00E116CB"/>
    <w:rsid w:val="00E14394"/>
    <w:rsid w:val="00E1539D"/>
    <w:rsid w:val="00E17D41"/>
    <w:rsid w:val="00E20099"/>
    <w:rsid w:val="00E22189"/>
    <w:rsid w:val="00E23128"/>
    <w:rsid w:val="00E2574E"/>
    <w:rsid w:val="00E2746C"/>
    <w:rsid w:val="00E32EE7"/>
    <w:rsid w:val="00E34471"/>
    <w:rsid w:val="00E345B7"/>
    <w:rsid w:val="00E37FB6"/>
    <w:rsid w:val="00E41E87"/>
    <w:rsid w:val="00E51ED7"/>
    <w:rsid w:val="00E53BDC"/>
    <w:rsid w:val="00E550C6"/>
    <w:rsid w:val="00E563E4"/>
    <w:rsid w:val="00E70FBD"/>
    <w:rsid w:val="00E77BCC"/>
    <w:rsid w:val="00E816CF"/>
    <w:rsid w:val="00E9327E"/>
    <w:rsid w:val="00E94556"/>
    <w:rsid w:val="00EA051F"/>
    <w:rsid w:val="00EA5AAC"/>
    <w:rsid w:val="00EA62CE"/>
    <w:rsid w:val="00EA6A21"/>
    <w:rsid w:val="00EB2EA0"/>
    <w:rsid w:val="00EB4DE1"/>
    <w:rsid w:val="00EB5C5C"/>
    <w:rsid w:val="00EB5E96"/>
    <w:rsid w:val="00EC3188"/>
    <w:rsid w:val="00EC32FD"/>
    <w:rsid w:val="00EC455C"/>
    <w:rsid w:val="00ED0280"/>
    <w:rsid w:val="00ED1F4D"/>
    <w:rsid w:val="00ED4C01"/>
    <w:rsid w:val="00ED4D9C"/>
    <w:rsid w:val="00ED7A0E"/>
    <w:rsid w:val="00ED7EA8"/>
    <w:rsid w:val="00EE21F6"/>
    <w:rsid w:val="00EE33EA"/>
    <w:rsid w:val="00EE5ADB"/>
    <w:rsid w:val="00EE7C04"/>
    <w:rsid w:val="00EF4095"/>
    <w:rsid w:val="00F0033F"/>
    <w:rsid w:val="00F030B2"/>
    <w:rsid w:val="00F04346"/>
    <w:rsid w:val="00F117CC"/>
    <w:rsid w:val="00F13301"/>
    <w:rsid w:val="00F27C75"/>
    <w:rsid w:val="00F320EB"/>
    <w:rsid w:val="00F33EC2"/>
    <w:rsid w:val="00F372D0"/>
    <w:rsid w:val="00F40597"/>
    <w:rsid w:val="00F437AD"/>
    <w:rsid w:val="00F43B09"/>
    <w:rsid w:val="00F46AAC"/>
    <w:rsid w:val="00F51C3C"/>
    <w:rsid w:val="00F55875"/>
    <w:rsid w:val="00F60618"/>
    <w:rsid w:val="00F629F8"/>
    <w:rsid w:val="00F63D9D"/>
    <w:rsid w:val="00F65B6B"/>
    <w:rsid w:val="00F67EE2"/>
    <w:rsid w:val="00F7205F"/>
    <w:rsid w:val="00F76EC2"/>
    <w:rsid w:val="00F812A7"/>
    <w:rsid w:val="00F82F56"/>
    <w:rsid w:val="00F84DC7"/>
    <w:rsid w:val="00F855E4"/>
    <w:rsid w:val="00F91840"/>
    <w:rsid w:val="00F91E2B"/>
    <w:rsid w:val="00F92283"/>
    <w:rsid w:val="00F93D1F"/>
    <w:rsid w:val="00F94B9A"/>
    <w:rsid w:val="00F956C7"/>
    <w:rsid w:val="00FA39F0"/>
    <w:rsid w:val="00FA6127"/>
    <w:rsid w:val="00FB28D8"/>
    <w:rsid w:val="00FB3AFA"/>
    <w:rsid w:val="00FB7C15"/>
    <w:rsid w:val="00FC0F3F"/>
    <w:rsid w:val="00FC5649"/>
    <w:rsid w:val="00FC7303"/>
    <w:rsid w:val="00FD14D2"/>
    <w:rsid w:val="00FD28AD"/>
    <w:rsid w:val="00FD3BA1"/>
    <w:rsid w:val="00FD7F94"/>
    <w:rsid w:val="00FE2DFD"/>
    <w:rsid w:val="00FE3772"/>
    <w:rsid w:val="00FE4E0F"/>
    <w:rsid w:val="00FE70D1"/>
    <w:rsid w:val="00FE7CF0"/>
    <w:rsid w:val="00FF194A"/>
    <w:rsid w:val="00FF422D"/>
    <w:rsid w:val="00FF64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9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D4E"/>
    <w:pPr>
      <w:spacing w:after="120" w:line="264" w:lineRule="auto"/>
      <w:jc w:val="both"/>
    </w:pPr>
    <w:rPr>
      <w:rFonts w:eastAsiaTheme="minorEastAsia"/>
      <w:sz w:val="20"/>
    </w:rPr>
  </w:style>
  <w:style w:type="paragraph" w:styleId="berschrift1">
    <w:name w:val="heading 1"/>
    <w:basedOn w:val="Standard"/>
    <w:next w:val="Standard"/>
    <w:link w:val="berschrift1Zchn"/>
    <w:uiPriority w:val="9"/>
    <w:qFormat/>
    <w:rsid w:val="00020948"/>
    <w:pPr>
      <w:keepNext/>
      <w:keepLines/>
      <w:spacing w:before="240" w:line="240" w:lineRule="auto"/>
      <w:ind w:right="567"/>
      <w:outlineLvl w:val="0"/>
    </w:pPr>
    <w:rPr>
      <w:rFonts w:eastAsiaTheme="majorEastAsia" w:cstheme="majorBidi"/>
      <w:b/>
      <w:bCs/>
      <w:sz w:val="23"/>
      <w:szCs w:val="28"/>
    </w:rPr>
  </w:style>
  <w:style w:type="paragraph" w:styleId="berschrift2">
    <w:name w:val="heading 2"/>
    <w:basedOn w:val="Standard"/>
    <w:next w:val="Standard"/>
    <w:link w:val="berschrift2Zchn"/>
    <w:uiPriority w:val="9"/>
    <w:unhideWhenUsed/>
    <w:qFormat/>
    <w:rsid w:val="00245CA5"/>
    <w:pPr>
      <w:keepNext/>
      <w:keepLines/>
      <w:spacing w:before="200" w:after="200"/>
      <w:outlineLvl w:val="1"/>
    </w:pPr>
    <w:rPr>
      <w:rFonts w:asciiTheme="majorHAnsi" w:eastAsiaTheme="majorEastAsia" w:hAnsiTheme="majorHAnsi" w:cstheme="majorBidi"/>
      <w:b/>
      <w:bCs/>
      <w:color w:val="1F497D" w:themeColor="text2"/>
      <w:sz w:val="26"/>
      <w:szCs w:val="26"/>
    </w:rPr>
  </w:style>
  <w:style w:type="paragraph" w:styleId="berschrift3">
    <w:name w:val="heading 3"/>
    <w:basedOn w:val="Standard"/>
    <w:next w:val="Standard"/>
    <w:link w:val="berschrift3Zchn"/>
    <w:uiPriority w:val="9"/>
    <w:semiHidden/>
    <w:unhideWhenUsed/>
    <w:qFormat/>
    <w:rsid w:val="00664F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3E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3EB6"/>
    <w:rPr>
      <w:rFonts w:ascii="Tahoma" w:eastAsiaTheme="minorEastAsia" w:hAnsi="Tahoma" w:cs="Tahoma"/>
      <w:sz w:val="16"/>
      <w:szCs w:val="16"/>
    </w:rPr>
  </w:style>
  <w:style w:type="character" w:styleId="Hyperlink">
    <w:name w:val="Hyperlink"/>
    <w:basedOn w:val="Absatz-Standardschriftart"/>
    <w:uiPriority w:val="99"/>
    <w:unhideWhenUsed/>
    <w:rsid w:val="00134231"/>
    <w:rPr>
      <w:color w:val="0000FF" w:themeColor="hyperlink"/>
      <w:u w:val="single"/>
    </w:rPr>
  </w:style>
  <w:style w:type="character" w:customStyle="1" w:styleId="berschrift1Zchn">
    <w:name w:val="Überschrift 1 Zchn"/>
    <w:basedOn w:val="Absatz-Standardschriftart"/>
    <w:link w:val="berschrift1"/>
    <w:uiPriority w:val="9"/>
    <w:rsid w:val="00020948"/>
    <w:rPr>
      <w:rFonts w:eastAsiaTheme="majorEastAsia" w:cstheme="majorBidi"/>
      <w:b/>
      <w:bCs/>
      <w:sz w:val="23"/>
      <w:szCs w:val="28"/>
    </w:rPr>
  </w:style>
  <w:style w:type="paragraph" w:styleId="Inhaltsverzeichnisberschrift">
    <w:name w:val="TOC Heading"/>
    <w:basedOn w:val="berschrift1"/>
    <w:next w:val="Standard"/>
    <w:uiPriority w:val="39"/>
    <w:semiHidden/>
    <w:unhideWhenUsed/>
    <w:qFormat/>
    <w:rsid w:val="00EA5AAC"/>
    <w:pPr>
      <w:outlineLvl w:val="9"/>
    </w:pPr>
    <w:rPr>
      <w:lang w:eastAsia="de-DE"/>
    </w:rPr>
  </w:style>
  <w:style w:type="paragraph" w:styleId="Verzeichnis1">
    <w:name w:val="toc 1"/>
    <w:basedOn w:val="Standard"/>
    <w:next w:val="Standard"/>
    <w:autoRedefine/>
    <w:uiPriority w:val="39"/>
    <w:unhideWhenUsed/>
    <w:rsid w:val="00513AAD"/>
    <w:pPr>
      <w:tabs>
        <w:tab w:val="right" w:leader="dot" w:pos="7088"/>
      </w:tabs>
      <w:jc w:val="left"/>
    </w:pPr>
    <w:rPr>
      <w:b/>
      <w:noProof/>
      <w:color w:val="31849B" w:themeColor="accent5" w:themeShade="BF"/>
      <w:szCs w:val="24"/>
    </w:rPr>
  </w:style>
  <w:style w:type="paragraph" w:styleId="Funotentext">
    <w:name w:val="footnote text"/>
    <w:basedOn w:val="Standard"/>
    <w:link w:val="FunotentextZchn"/>
    <w:unhideWhenUsed/>
    <w:rsid w:val="005A00FB"/>
    <w:pPr>
      <w:spacing w:after="0" w:line="240" w:lineRule="auto"/>
    </w:pPr>
    <w:rPr>
      <w:szCs w:val="20"/>
    </w:rPr>
  </w:style>
  <w:style w:type="character" w:customStyle="1" w:styleId="FunotentextZchn">
    <w:name w:val="Fußnotentext Zchn"/>
    <w:basedOn w:val="Absatz-Standardschriftart"/>
    <w:link w:val="Funotentext"/>
    <w:uiPriority w:val="99"/>
    <w:rsid w:val="005A00FB"/>
    <w:rPr>
      <w:rFonts w:eastAsiaTheme="minorEastAsia"/>
      <w:sz w:val="20"/>
      <w:szCs w:val="20"/>
    </w:rPr>
  </w:style>
  <w:style w:type="character" w:styleId="Funotenzeichen">
    <w:name w:val="footnote reference"/>
    <w:basedOn w:val="Absatz-Standardschriftart"/>
    <w:uiPriority w:val="99"/>
    <w:unhideWhenUsed/>
    <w:rsid w:val="001079C9"/>
    <w:rPr>
      <w:b/>
      <w:color w:val="FF0000"/>
      <w:vertAlign w:val="superscript"/>
    </w:rPr>
  </w:style>
  <w:style w:type="paragraph" w:styleId="Kopfzeile">
    <w:name w:val="header"/>
    <w:basedOn w:val="Standard"/>
    <w:link w:val="KopfzeileZchn"/>
    <w:uiPriority w:val="99"/>
    <w:unhideWhenUsed/>
    <w:rsid w:val="00DE36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6FB"/>
    <w:rPr>
      <w:rFonts w:eastAsiaTheme="minorEastAsia"/>
      <w:sz w:val="20"/>
    </w:rPr>
  </w:style>
  <w:style w:type="paragraph" w:styleId="Fuzeile">
    <w:name w:val="footer"/>
    <w:basedOn w:val="Standard"/>
    <w:link w:val="FuzeileZchn"/>
    <w:uiPriority w:val="99"/>
    <w:unhideWhenUsed/>
    <w:rsid w:val="00DE36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6FB"/>
    <w:rPr>
      <w:rFonts w:eastAsiaTheme="minorEastAsia"/>
      <w:sz w:val="20"/>
    </w:rPr>
  </w:style>
  <w:style w:type="character" w:customStyle="1" w:styleId="berschrift2Zchn">
    <w:name w:val="Überschrift 2 Zchn"/>
    <w:basedOn w:val="Absatz-Standardschriftart"/>
    <w:link w:val="berschrift2"/>
    <w:uiPriority w:val="9"/>
    <w:rsid w:val="00245CA5"/>
    <w:rPr>
      <w:rFonts w:asciiTheme="majorHAnsi" w:eastAsiaTheme="majorEastAsia" w:hAnsiTheme="majorHAnsi" w:cstheme="majorBidi"/>
      <w:b/>
      <w:bCs/>
      <w:color w:val="1F497D" w:themeColor="text2"/>
      <w:sz w:val="26"/>
      <w:szCs w:val="26"/>
    </w:rPr>
  </w:style>
  <w:style w:type="paragraph" w:styleId="KeinLeerraum">
    <w:name w:val="No Spacing"/>
    <w:uiPriority w:val="1"/>
    <w:qFormat/>
    <w:rsid w:val="00AF5FE2"/>
    <w:pPr>
      <w:spacing w:after="0" w:line="264" w:lineRule="auto"/>
      <w:jc w:val="both"/>
    </w:pPr>
    <w:rPr>
      <w:rFonts w:ascii="Times New Roman" w:eastAsiaTheme="minorEastAsia" w:hAnsi="Times New Roman"/>
      <w:i/>
      <w:sz w:val="24"/>
    </w:rPr>
  </w:style>
  <w:style w:type="paragraph" w:styleId="Listenabsatz">
    <w:name w:val="List Paragraph"/>
    <w:basedOn w:val="Standard"/>
    <w:uiPriority w:val="34"/>
    <w:qFormat/>
    <w:rsid w:val="00ED0280"/>
    <w:pPr>
      <w:ind w:left="720"/>
      <w:contextualSpacing/>
    </w:pPr>
  </w:style>
  <w:style w:type="table" w:styleId="Tabellenraster">
    <w:name w:val="Table Grid"/>
    <w:basedOn w:val="NormaleTabelle"/>
    <w:uiPriority w:val="59"/>
    <w:rsid w:val="0069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02305"/>
    <w:pPr>
      <w:spacing w:after="100"/>
      <w:ind w:left="200"/>
      <w:jc w:val="left"/>
    </w:pPr>
    <w:rPr>
      <w:b/>
      <w:color w:val="4F81BD" w:themeColor="accent1"/>
      <w:sz w:val="18"/>
    </w:rPr>
  </w:style>
  <w:style w:type="character" w:customStyle="1" w:styleId="berschrift3Zchn">
    <w:name w:val="Überschrift 3 Zchn"/>
    <w:basedOn w:val="Absatz-Standardschriftart"/>
    <w:link w:val="berschrift3"/>
    <w:uiPriority w:val="9"/>
    <w:semiHidden/>
    <w:rsid w:val="00664F77"/>
    <w:rPr>
      <w:rFonts w:asciiTheme="majorHAnsi" w:eastAsiaTheme="majorEastAsia" w:hAnsiTheme="majorHAnsi" w:cstheme="majorBidi"/>
      <w:b/>
      <w:bCs/>
      <w:color w:val="4F81BD" w:themeColor="accent1"/>
      <w:sz w:val="20"/>
    </w:rPr>
  </w:style>
  <w:style w:type="numbering" w:customStyle="1" w:styleId="KeineListe1">
    <w:name w:val="Keine Liste1"/>
    <w:next w:val="KeineListe"/>
    <w:uiPriority w:val="99"/>
    <w:semiHidden/>
    <w:unhideWhenUsed/>
    <w:rsid w:val="006215F7"/>
  </w:style>
  <w:style w:type="character" w:styleId="Fett">
    <w:name w:val="Strong"/>
    <w:basedOn w:val="Absatz-Standardschriftart"/>
    <w:uiPriority w:val="22"/>
    <w:qFormat/>
    <w:rsid w:val="00513A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D4E"/>
    <w:pPr>
      <w:spacing w:after="120" w:line="264" w:lineRule="auto"/>
      <w:jc w:val="both"/>
    </w:pPr>
    <w:rPr>
      <w:rFonts w:eastAsiaTheme="minorEastAsia"/>
      <w:sz w:val="20"/>
    </w:rPr>
  </w:style>
  <w:style w:type="paragraph" w:styleId="berschrift1">
    <w:name w:val="heading 1"/>
    <w:basedOn w:val="Standard"/>
    <w:next w:val="Standard"/>
    <w:link w:val="berschrift1Zchn"/>
    <w:uiPriority w:val="9"/>
    <w:qFormat/>
    <w:rsid w:val="00020948"/>
    <w:pPr>
      <w:keepNext/>
      <w:keepLines/>
      <w:spacing w:before="240" w:line="240" w:lineRule="auto"/>
      <w:ind w:right="567"/>
      <w:outlineLvl w:val="0"/>
    </w:pPr>
    <w:rPr>
      <w:rFonts w:eastAsiaTheme="majorEastAsia" w:cstheme="majorBidi"/>
      <w:b/>
      <w:bCs/>
      <w:sz w:val="23"/>
      <w:szCs w:val="28"/>
    </w:rPr>
  </w:style>
  <w:style w:type="paragraph" w:styleId="berschrift2">
    <w:name w:val="heading 2"/>
    <w:basedOn w:val="Standard"/>
    <w:next w:val="Standard"/>
    <w:link w:val="berschrift2Zchn"/>
    <w:uiPriority w:val="9"/>
    <w:unhideWhenUsed/>
    <w:qFormat/>
    <w:rsid w:val="00245CA5"/>
    <w:pPr>
      <w:keepNext/>
      <w:keepLines/>
      <w:spacing w:before="200" w:after="200"/>
      <w:outlineLvl w:val="1"/>
    </w:pPr>
    <w:rPr>
      <w:rFonts w:asciiTheme="majorHAnsi" w:eastAsiaTheme="majorEastAsia" w:hAnsiTheme="majorHAnsi" w:cstheme="majorBidi"/>
      <w:b/>
      <w:bCs/>
      <w:color w:val="1F497D" w:themeColor="text2"/>
      <w:sz w:val="26"/>
      <w:szCs w:val="26"/>
    </w:rPr>
  </w:style>
  <w:style w:type="paragraph" w:styleId="berschrift3">
    <w:name w:val="heading 3"/>
    <w:basedOn w:val="Standard"/>
    <w:next w:val="Standard"/>
    <w:link w:val="berschrift3Zchn"/>
    <w:uiPriority w:val="9"/>
    <w:semiHidden/>
    <w:unhideWhenUsed/>
    <w:qFormat/>
    <w:rsid w:val="00664F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3E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3EB6"/>
    <w:rPr>
      <w:rFonts w:ascii="Tahoma" w:eastAsiaTheme="minorEastAsia" w:hAnsi="Tahoma" w:cs="Tahoma"/>
      <w:sz w:val="16"/>
      <w:szCs w:val="16"/>
    </w:rPr>
  </w:style>
  <w:style w:type="character" w:styleId="Hyperlink">
    <w:name w:val="Hyperlink"/>
    <w:basedOn w:val="Absatz-Standardschriftart"/>
    <w:uiPriority w:val="99"/>
    <w:unhideWhenUsed/>
    <w:rsid w:val="00134231"/>
    <w:rPr>
      <w:color w:val="0000FF" w:themeColor="hyperlink"/>
      <w:u w:val="single"/>
    </w:rPr>
  </w:style>
  <w:style w:type="character" w:customStyle="1" w:styleId="berschrift1Zchn">
    <w:name w:val="Überschrift 1 Zchn"/>
    <w:basedOn w:val="Absatz-Standardschriftart"/>
    <w:link w:val="berschrift1"/>
    <w:uiPriority w:val="9"/>
    <w:rsid w:val="00020948"/>
    <w:rPr>
      <w:rFonts w:eastAsiaTheme="majorEastAsia" w:cstheme="majorBidi"/>
      <w:b/>
      <w:bCs/>
      <w:sz w:val="23"/>
      <w:szCs w:val="28"/>
    </w:rPr>
  </w:style>
  <w:style w:type="paragraph" w:styleId="Inhaltsverzeichnisberschrift">
    <w:name w:val="TOC Heading"/>
    <w:basedOn w:val="berschrift1"/>
    <w:next w:val="Standard"/>
    <w:uiPriority w:val="39"/>
    <w:semiHidden/>
    <w:unhideWhenUsed/>
    <w:qFormat/>
    <w:rsid w:val="00EA5AAC"/>
    <w:pPr>
      <w:outlineLvl w:val="9"/>
    </w:pPr>
    <w:rPr>
      <w:lang w:eastAsia="de-DE"/>
    </w:rPr>
  </w:style>
  <w:style w:type="paragraph" w:styleId="Verzeichnis1">
    <w:name w:val="toc 1"/>
    <w:basedOn w:val="Standard"/>
    <w:next w:val="Standard"/>
    <w:autoRedefine/>
    <w:uiPriority w:val="39"/>
    <w:unhideWhenUsed/>
    <w:rsid w:val="00513AAD"/>
    <w:pPr>
      <w:tabs>
        <w:tab w:val="right" w:leader="dot" w:pos="7088"/>
      </w:tabs>
      <w:jc w:val="left"/>
    </w:pPr>
    <w:rPr>
      <w:b/>
      <w:noProof/>
      <w:color w:val="31849B" w:themeColor="accent5" w:themeShade="BF"/>
      <w:szCs w:val="24"/>
    </w:rPr>
  </w:style>
  <w:style w:type="paragraph" w:styleId="Funotentext">
    <w:name w:val="footnote text"/>
    <w:basedOn w:val="Standard"/>
    <w:link w:val="FunotentextZchn"/>
    <w:unhideWhenUsed/>
    <w:rsid w:val="005A00FB"/>
    <w:pPr>
      <w:spacing w:after="0" w:line="240" w:lineRule="auto"/>
    </w:pPr>
    <w:rPr>
      <w:szCs w:val="20"/>
    </w:rPr>
  </w:style>
  <w:style w:type="character" w:customStyle="1" w:styleId="FunotentextZchn">
    <w:name w:val="Fußnotentext Zchn"/>
    <w:basedOn w:val="Absatz-Standardschriftart"/>
    <w:link w:val="Funotentext"/>
    <w:uiPriority w:val="99"/>
    <w:rsid w:val="005A00FB"/>
    <w:rPr>
      <w:rFonts w:eastAsiaTheme="minorEastAsia"/>
      <w:sz w:val="20"/>
      <w:szCs w:val="20"/>
    </w:rPr>
  </w:style>
  <w:style w:type="character" w:styleId="Funotenzeichen">
    <w:name w:val="footnote reference"/>
    <w:basedOn w:val="Absatz-Standardschriftart"/>
    <w:uiPriority w:val="99"/>
    <w:unhideWhenUsed/>
    <w:rsid w:val="001079C9"/>
    <w:rPr>
      <w:b/>
      <w:color w:val="FF0000"/>
      <w:vertAlign w:val="superscript"/>
    </w:rPr>
  </w:style>
  <w:style w:type="paragraph" w:styleId="Kopfzeile">
    <w:name w:val="header"/>
    <w:basedOn w:val="Standard"/>
    <w:link w:val="KopfzeileZchn"/>
    <w:uiPriority w:val="99"/>
    <w:unhideWhenUsed/>
    <w:rsid w:val="00DE36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6FB"/>
    <w:rPr>
      <w:rFonts w:eastAsiaTheme="minorEastAsia"/>
      <w:sz w:val="20"/>
    </w:rPr>
  </w:style>
  <w:style w:type="paragraph" w:styleId="Fuzeile">
    <w:name w:val="footer"/>
    <w:basedOn w:val="Standard"/>
    <w:link w:val="FuzeileZchn"/>
    <w:uiPriority w:val="99"/>
    <w:unhideWhenUsed/>
    <w:rsid w:val="00DE36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6FB"/>
    <w:rPr>
      <w:rFonts w:eastAsiaTheme="minorEastAsia"/>
      <w:sz w:val="20"/>
    </w:rPr>
  </w:style>
  <w:style w:type="character" w:customStyle="1" w:styleId="berschrift2Zchn">
    <w:name w:val="Überschrift 2 Zchn"/>
    <w:basedOn w:val="Absatz-Standardschriftart"/>
    <w:link w:val="berschrift2"/>
    <w:uiPriority w:val="9"/>
    <w:rsid w:val="00245CA5"/>
    <w:rPr>
      <w:rFonts w:asciiTheme="majorHAnsi" w:eastAsiaTheme="majorEastAsia" w:hAnsiTheme="majorHAnsi" w:cstheme="majorBidi"/>
      <w:b/>
      <w:bCs/>
      <w:color w:val="1F497D" w:themeColor="text2"/>
      <w:sz w:val="26"/>
      <w:szCs w:val="26"/>
    </w:rPr>
  </w:style>
  <w:style w:type="paragraph" w:styleId="KeinLeerraum">
    <w:name w:val="No Spacing"/>
    <w:uiPriority w:val="1"/>
    <w:qFormat/>
    <w:rsid w:val="00AF5FE2"/>
    <w:pPr>
      <w:spacing w:after="0" w:line="264" w:lineRule="auto"/>
      <w:jc w:val="both"/>
    </w:pPr>
    <w:rPr>
      <w:rFonts w:ascii="Times New Roman" w:eastAsiaTheme="minorEastAsia" w:hAnsi="Times New Roman"/>
      <w:i/>
      <w:sz w:val="24"/>
    </w:rPr>
  </w:style>
  <w:style w:type="paragraph" w:styleId="Listenabsatz">
    <w:name w:val="List Paragraph"/>
    <w:basedOn w:val="Standard"/>
    <w:uiPriority w:val="34"/>
    <w:qFormat/>
    <w:rsid w:val="00ED0280"/>
    <w:pPr>
      <w:ind w:left="720"/>
      <w:contextualSpacing/>
    </w:pPr>
  </w:style>
  <w:style w:type="table" w:styleId="Tabellenraster">
    <w:name w:val="Table Grid"/>
    <w:basedOn w:val="NormaleTabelle"/>
    <w:uiPriority w:val="59"/>
    <w:rsid w:val="0069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02305"/>
    <w:pPr>
      <w:spacing w:after="100"/>
      <w:ind w:left="200"/>
      <w:jc w:val="left"/>
    </w:pPr>
    <w:rPr>
      <w:b/>
      <w:color w:val="4F81BD" w:themeColor="accent1"/>
      <w:sz w:val="18"/>
    </w:rPr>
  </w:style>
  <w:style w:type="character" w:customStyle="1" w:styleId="berschrift3Zchn">
    <w:name w:val="Überschrift 3 Zchn"/>
    <w:basedOn w:val="Absatz-Standardschriftart"/>
    <w:link w:val="berschrift3"/>
    <w:uiPriority w:val="9"/>
    <w:semiHidden/>
    <w:rsid w:val="00664F77"/>
    <w:rPr>
      <w:rFonts w:asciiTheme="majorHAnsi" w:eastAsiaTheme="majorEastAsia" w:hAnsiTheme="majorHAnsi" w:cstheme="majorBidi"/>
      <w:b/>
      <w:bCs/>
      <w:color w:val="4F81BD" w:themeColor="accent1"/>
      <w:sz w:val="20"/>
    </w:rPr>
  </w:style>
  <w:style w:type="numbering" w:customStyle="1" w:styleId="KeineListe1">
    <w:name w:val="Keine Liste1"/>
    <w:next w:val="KeineListe"/>
    <w:uiPriority w:val="99"/>
    <w:semiHidden/>
    <w:unhideWhenUsed/>
    <w:rsid w:val="006215F7"/>
  </w:style>
  <w:style w:type="character" w:styleId="Fett">
    <w:name w:val="Strong"/>
    <w:basedOn w:val="Absatz-Standardschriftart"/>
    <w:uiPriority w:val="22"/>
    <w:qFormat/>
    <w:rsid w:val="00513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668">
      <w:bodyDiv w:val="1"/>
      <w:marLeft w:val="0"/>
      <w:marRight w:val="0"/>
      <w:marTop w:val="0"/>
      <w:marBottom w:val="0"/>
      <w:divBdr>
        <w:top w:val="none" w:sz="0" w:space="0" w:color="auto"/>
        <w:left w:val="none" w:sz="0" w:space="0" w:color="auto"/>
        <w:bottom w:val="none" w:sz="0" w:space="0" w:color="auto"/>
        <w:right w:val="none" w:sz="0" w:space="0" w:color="auto"/>
      </w:divBdr>
    </w:div>
    <w:div w:id="194518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erderauftrag.de/" TargetMode="External"/><Relationship Id="rId18" Type="http://schemas.openxmlformats.org/officeDocument/2006/relationships/hyperlink" Target="http://www.genossenschaftswelt.de"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fusion-raiffeisenbank.d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geno-bild.d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genonachrichten.de" TargetMode="External"/><Relationship Id="rId20" Type="http://schemas.openxmlformats.org/officeDocument/2006/relationships/hyperlink" Target="https://www.wegfrei.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post@igenos-sued.de" TargetMode="Externa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yperlink" Target="https://www.foerderauftrag.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st@igenos.de" TargetMode="External"/><Relationship Id="rId22" Type="http://schemas.openxmlformats.org/officeDocument/2006/relationships/hyperlink" Target="https://www.AG-statt-eG.de"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945B-F096-43CF-A7EA-D629645C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3605</Words>
  <Characters>22718</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Scheumann Georg</dc:creator>
  <cp:lastModifiedBy>Scheumann Georg</cp:lastModifiedBy>
  <cp:revision>3</cp:revision>
  <cp:lastPrinted>2021-01-19T16:18:00Z</cp:lastPrinted>
  <dcterms:created xsi:type="dcterms:W3CDTF">2021-01-19T16:04:00Z</dcterms:created>
  <dcterms:modified xsi:type="dcterms:W3CDTF">2021-01-19T16:19:00Z</dcterms:modified>
</cp:coreProperties>
</file>